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C0" w:rsidRDefault="00B875C0" w:rsidP="00B875C0">
      <w:pPr>
        <w:shd w:val="clear" w:color="auto" w:fill="FFFFFF"/>
        <w:spacing w:before="30" w:after="450" w:line="540" w:lineRule="atLeast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492F22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Сети мозга. ННГУ задумал стать центром </w:t>
      </w:r>
      <w:proofErr w:type="spellStart"/>
      <w:r w:rsidRPr="00492F22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  <w:t>нейронаук</w:t>
      </w:r>
      <w:proofErr w:type="spellEnd"/>
      <w:r w:rsidRPr="00492F22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Поволжья, а может, и всей России</w:t>
      </w:r>
    </w:p>
    <w:p w:rsidR="00492F22" w:rsidRPr="00492F22" w:rsidRDefault="00492F22" w:rsidP="00492F22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92F2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Нижегородск</w:t>
      </w:r>
      <w:r w:rsidRPr="00492F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492F2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государственн</w:t>
      </w:r>
      <w:r w:rsidRPr="00492F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492F2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университет</w:t>
      </w:r>
      <w:r w:rsidRPr="00492F2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при поддержке Российского научного фонда, выделившего средства</w:t>
      </w:r>
      <w:r w:rsidRPr="00492F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bookmarkStart w:id="0" w:name="_GoBack"/>
      <w:r w:rsidRPr="00492F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проводит </w:t>
      </w:r>
      <w:r w:rsidRPr="00492F2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конференцию по проекту “</w:t>
      </w:r>
      <w:proofErr w:type="spellStart"/>
      <w:r w:rsidRPr="00492F2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Астроглиальный</w:t>
      </w:r>
      <w:proofErr w:type="spellEnd"/>
      <w:r w:rsidRPr="00492F2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контроль ритмической и эпилептиформной активности мозга”. </w:t>
      </w:r>
    </w:p>
    <w:bookmarkEnd w:id="0"/>
    <w:p w:rsidR="00492F22" w:rsidRPr="00492F22" w:rsidRDefault="00492F22" w:rsidP="00492F22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875C0" w:rsidRPr="00B875C0" w:rsidRDefault="00B875C0" w:rsidP="00B875C0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</w:pPr>
      <w:r w:rsidRPr="00B875C0"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  <w:t> </w:t>
      </w:r>
      <w:r w:rsidRPr="00B875C0">
        <w:rPr>
          <w:rFonts w:ascii="PT Sans" w:eastAsia="Times New Roman" w:hAnsi="PT Sans" w:cs="Times New Roman"/>
          <w:color w:val="808080"/>
          <w:sz w:val="21"/>
          <w:szCs w:val="21"/>
          <w:lang w:eastAsia="ru-RU"/>
        </w:rPr>
        <w:t>30 марта 2016</w:t>
      </w:r>
    </w:p>
    <w:p w:rsidR="00B875C0" w:rsidRPr="00B875C0" w:rsidRDefault="00B875C0" w:rsidP="00B875C0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метки: </w:t>
      </w:r>
    </w:p>
    <w:p w:rsidR="00B875C0" w:rsidRPr="00B875C0" w:rsidRDefault="00492F22" w:rsidP="00B875C0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5" w:history="1">
        <w:r w:rsidR="00B875C0" w:rsidRPr="00B875C0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 xml:space="preserve">СМИ о Фонде и </w:t>
        </w:r>
        <w:proofErr w:type="spellStart"/>
        <w:r w:rsidR="00B875C0" w:rsidRPr="00B875C0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>грантополучателях</w:t>
        </w:r>
        <w:proofErr w:type="spellEnd"/>
      </w:hyperlink>
    </w:p>
    <w:p w:rsidR="00B875C0" w:rsidRPr="00B875C0" w:rsidRDefault="00B875C0" w:rsidP="00B875C0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источник: </w:t>
      </w:r>
    </w:p>
    <w:p w:rsidR="00B875C0" w:rsidRPr="00B875C0" w:rsidRDefault="00492F22" w:rsidP="00B875C0">
      <w:pPr>
        <w:shd w:val="clear" w:color="auto" w:fill="FFFFFF"/>
        <w:spacing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B875C0" w:rsidRPr="00B875C0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>Газета "Поиск"</w:t>
        </w:r>
      </w:hyperlink>
    </w:p>
    <w:p w:rsidR="00B875C0" w:rsidRPr="00B875C0" w:rsidRDefault="00B875C0" w:rsidP="00B875C0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7A9356E9" wp14:editId="017A2734">
            <wp:extent cx="3714750" cy="2419350"/>
            <wp:effectExtent l="0" t="0" r="0" b="0"/>
            <wp:docPr id="1" name="Рисунок 1" descr="http://xn--m1afn.xn--p1ai/sites/default/files/styles/banner/public/field/image/8_7.jpg?itok=0mcXEP-F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m1afn.xn--p1ai/sites/default/files/styles/banner/public/field/image/8_7.jpg?itok=0mcXEP-F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Самая большая международная конференция по </w:t>
      </w:r>
      <w:proofErr w:type="spellStart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нейронаукам</w:t>
      </w:r>
      <w:proofErr w:type="spellEnd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собирается в США ежегодно, в ней участвуют до 30 тысяч ученых. Россияне - тоже, но добираться им в Штаты далеко, дорого и хлопотно из-за проблем с визами. </w:t>
      </w:r>
      <w:proofErr w:type="gramStart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Раз в два года японцы проводят свою </w:t>
      </w:r>
      <w:proofErr w:type="spellStart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нейроконференцию</w:t>
      </w:r>
      <w:proofErr w:type="spellEnd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, созывая на нее народ из Азиатско-</w:t>
      </w:r>
      <w:proofErr w:type="gramEnd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Тихоокеанского региона. С 1998 года Федерация европейских </w:t>
      </w:r>
      <w:proofErr w:type="spellStart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нейронаучных</w:t>
      </w:r>
      <w:proofErr w:type="spellEnd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обще</w:t>
      </w:r>
      <w:proofErr w:type="gramStart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ств пр</w:t>
      </w:r>
      <w:proofErr w:type="gramEnd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иглашает обменяться информацией профессионалов ЕС. В России же до сего года ни одной международной конференции по </w:t>
      </w:r>
      <w:proofErr w:type="spellStart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нейронаукам</w:t>
      </w:r>
      <w:proofErr w:type="spellEnd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не было. Первая, заверили меня в Нижегородском государственном университете им. </w:t>
      </w:r>
      <w:proofErr w:type="spellStart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Н.И.Лобачевского</w:t>
      </w:r>
      <w:proofErr w:type="spellEnd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(ННГУ), пройдет в июле под названием </w:t>
      </w:r>
      <w:proofErr w:type="spellStart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Volga</w:t>
      </w:r>
      <w:proofErr w:type="spellEnd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neuroscience</w:t>
      </w:r>
      <w:proofErr w:type="spellEnd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meeting</w:t>
      </w:r>
      <w:proofErr w:type="spellEnd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. Имя говорящее: конференция международная (рабочий язык - английский) и плавучая - проходить будет на теплоходе по маршруту Санкт-Петербург - Нижний Новгород. Организует этот </w:t>
      </w:r>
      <w:proofErr w:type="spellStart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meeting</w:t>
      </w:r>
      <w:proofErr w:type="spellEnd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ННГУ при поддержке Российского научного фонда, выделившего средства на конференцию по проекту “</w:t>
      </w:r>
      <w:proofErr w:type="spellStart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Астроглиальный</w:t>
      </w:r>
      <w:proofErr w:type="spellEnd"/>
      <w:r w:rsidRPr="00B875C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контроль ритмической и эпилептиформной активности мозга”. </w:t>
      </w:r>
    </w:p>
    <w:p w:rsidR="00B875C0" w:rsidRPr="00B875C0" w:rsidRDefault="00B875C0" w:rsidP="00B875C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  <w:lang w:eastAsia="ru-RU"/>
        </w:rPr>
      </w:pPr>
      <w:r w:rsidRPr="00B875C0">
        <w:rPr>
          <w:rFonts w:ascii="inherit" w:eastAsia="Times New Roman" w:hAnsi="inherit" w:cs="Times New Roman"/>
          <w:b/>
          <w:bCs/>
          <w:color w:val="000000"/>
          <w:sz w:val="45"/>
          <w:szCs w:val="45"/>
          <w:lang w:eastAsia="ru-RU"/>
        </w:rPr>
        <w:t>Откуда что взялось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Но почему инициатор встречи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нейроспециалистов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ННГУ, известный своими физиками и математиками? Что за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астроглиальный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контроль активности мозга? Много ли народу такими темами заинтересует теплоходная конференция? - оказавшись в </w:t>
      </w:r>
      <w:proofErr w:type="gram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Нижнем</w:t>
      </w:r>
      <w:proofErr w:type="gram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я обращалась с этими вопросами к нескольким представителям руководства вуза. Ответ был </w:t>
      </w: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примерно такой: точно вам скажет профессор Алексей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Семьянов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он в январе возглавил наш Институт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принимал участие в пестовании этого направления исследования, когда биомедицина только проклевывалась в вузе небольшими лабораториями. Он в курсе всех наших грантов РНФ, а также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мегагрантов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госконтрактов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по Федеральным целевым программам. Еще рассказали, что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Семьянов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лично привлекал зарубежных ученых, сейчас возглавляющих многие проекты университета. Чем? Современной тематикой, отличным оснащением лабораторий, молодежью. Средний возраст научного сотрудника в ННГУ - 46 лет. Каждый третий - моложе 35 лет. Зарубежные корифеи охотно принимают их на стажировки в свои лаборатории. Многие ли потом не возвращаются? </w:t>
      </w:r>
      <w:proofErr w:type="gram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Мне не назвали ни одной фамилии ученого, кто из ННГУ уехал на ПМЖ за рубеж в последние 10 лет.</w:t>
      </w:r>
      <w:proofErr w:type="gram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Наоборот, получив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PhD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завоевав имя в мировой науке, выпускники ННГУ стали возвращаться в Россию, как, например, тот же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Семьянов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Алексея Васильевича я нашла в корпусе, куда гостей без спецодежды и сопровождения подготовленными сотрудниками не пускают. Строгости объясняют коротко: “Здесь виварий,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трансгенные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животные, лаборатории с тонкой техникой, эксперименты на клеточном уровне...”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Вывески же, что это Институт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не обнаружила.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Рано еще, - улыбнулся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А.Семьянов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- мы только-только выросли из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Нейронаучного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центра в рамках вузовского Института биологических наук. Получили право на самостоятельное развитие в университете. Горды этим, потому что пока мы единственный в России Институт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при университете. Есть академические институты в Москве и Питере, занимающиеся исследованием головного мозга в рамках конкретных биологических проблем, а мы - институт более широкого профиля,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мультидисциплинарный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Тут будут работать ученые, имеющие </w:t>
      </w:r>
      <w:proofErr w:type="gram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разный</w:t>
      </w:r>
      <w:proofErr w:type="gram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background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- физики, химики, математики, биологи. Чтобы понять мозг, надо объединять усилия представителей многих наук. Хорошо, что для университета такая конвергенция естественна, ННГУ традиционно готовит специалистов для разных областей.</w:t>
      </w:r>
    </w:p>
    <w:p w:rsidR="00B875C0" w:rsidRPr="00B875C0" w:rsidRDefault="00B875C0" w:rsidP="00B875C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B875C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B875C0">
        <w:rPr>
          <w:rFonts w:ascii="inherit" w:eastAsia="Times New Roman" w:hAnsi="inherit" w:cs="Times New Roman"/>
          <w:i/>
          <w:iCs/>
          <w:color w:val="000000"/>
          <w:sz w:val="27"/>
          <w:szCs w:val="27"/>
          <w:lang w:eastAsia="ru-RU"/>
        </w:rPr>
        <w:t>- И лучше всего, как известно, физиков, математиков.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Так с них все и пошло, - откликается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Семьянов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- с организации двумя факультетами - радиофизическим и биологическим - кафедры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нейродинамики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нейробиологии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Именно физики применили математическое моделирование при описании процессов, происходящих в головном мозге, - заложили основу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нейродинамики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А вот с биологической стороны были только идеи, но ни базы, ни экспериментальных исследований... Я в то время работал в Японии завлабом в Институте мозга. Но, будучи выпускником ННГУ, никогда не порывал с альма-матер. От друзей знал, что создали новую кафедру, обсуждал с ними, как наладить ее работу. Вот тогда мы и сформировали концепцию зеркальных лабораторий, чтобы развивать в </w:t>
      </w:r>
      <w:proofErr w:type="gram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Нижнем</w:t>
      </w:r>
      <w:proofErr w:type="gram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то, что уже практикуется в лабораториях, где мы работали, за рубежом. Одновременно стали приглашать к себе, в ведущие научные центры сотрудников ННГУ на стажировку. Народ в Лондоне, Берлине, Токио изучал современные методы исследования, технику, а накопив базовые компетенции и навыки, возвращался на родину с идеями, как этим научным заделом распорядиться. К тому времени университет уже смог один из первых грантов, полученных в поддержку экспериментальных исследований, потратить на закупку </w:t>
      </w: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необходимого оборудования. Так здесь начала развиваться экспериментальная база биологических наук. А в 2011 году объявили конкурсы на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мегагранты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Вуз их выиграл 7. Один был получен под репутацию, то есть проект Александра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Дитятева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известного европейского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нейробиолога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Его приход в университет позволил в </w:t>
      </w:r>
      <w:proofErr w:type="gram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Нижнем</w:t>
      </w:r>
      <w:proofErr w:type="gram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начать исследования матрикса головного мозга. Это такая белковая субстанция, которая заполняет пространство между клетками и сильно влияет на их функциональные свойства. Деньги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мегагранта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помогли биологам обрести свою территорию и со временем создать современный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нейронаучный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центр...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  <w:lang w:eastAsia="ru-RU"/>
        </w:rPr>
      </w:pPr>
      <w:r w:rsidRPr="00B875C0">
        <w:rPr>
          <w:rFonts w:ascii="inherit" w:eastAsia="Times New Roman" w:hAnsi="inherit" w:cs="Times New Roman"/>
          <w:b/>
          <w:bCs/>
          <w:color w:val="000000"/>
          <w:sz w:val="45"/>
          <w:szCs w:val="45"/>
          <w:lang w:eastAsia="ru-RU"/>
        </w:rPr>
        <w:t>Смел тот, кто компетентен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Как это произошло в деталях, я услышала от руководителя Центра трансляционных технологий ННГУ Ирины Мухиной: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В нашем вузе давали хорошее биологическое образование. Доказательством то, что выпускники ННГУ занимают ведущие посты за рубежом, руководят научными институтами. Да, у нас не было здания для работ по живым системам, но мы выросли на фундаментальной теории функциональных систем Петра Анохина. Его в свое время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И.Павлов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сюда направил, чтобы поднимать в Нижнем Новгороде физиологию. Так вот Анохин, изучая мозг, сформулировал понятие афферентного синтеза - поведенческого акта. Он происходит, когда мозг разом располагает четырьмя решающими для совершения действия компонентами: обстоятельствами, доминирующей мотивацией, памятью о предшествующем опыте и пусковым моментом. У нас в университете всегда была сильная биологическая наука (обстоятельства), у людей накопился опыт, возникла мотивация - современное развитие биологии, а пусковым моментом стало желание изучать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нейронауки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возможность выиграть на это средства.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Иначе говоря, молодые, честолюбивые радиофизик Виктор Казанцев (с 2015 года проректор по науке ННГУ.</w:t>
      </w:r>
      <w:proofErr w:type="gram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Прим. ред.), биолог Ирина Мухина и биофизик Алексей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Семьянов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соединили усилия и направили их на создание в родном вузе нового научного направления.</w:t>
      </w:r>
      <w:proofErr w:type="gram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Каждый внес свою энергию и научную идею, которой, как считал, надо непременно заниматься. Например, Алексей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Семьянов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изучал глиальные клетки, контактировал по этой теме с десятком ведущих мировых исследователей и познакомил коллег с Александром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Дитятевым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который в Немецком центре дегенеративных заболеваний вел исследование внеклеточной матриксы мозга. По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мегагранту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А.Дитятев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В.Казанцев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создали лабораторию, где матрикс используют как мишень для терапевтических воздействий. Сейчас в ННГУ уже увлеченно изучают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микроглию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мозга, причем с участием иммунологов, и видят перспективу работ на много лет вперед.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Счастье, что нам поверили в университете, - говорит Ирина Васильевна. - Не поверили бы - не было бы ни этого здания, ни молодежи, которая здесь находится сутками, ни развития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причем с фундаментального - клеточного - уровня. Я надеюсь, это только начало самоорганизации. Совместные гранты с зарубежными учеными для нас опора. Я -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клеточник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знаю, что, хотя каждый год в мозге умирает порядка 150 тысяч нейронов, мы становимся все умнее и умнее, потому что образуются новые ассоциации. Так и наш университет: нейробиологическое направление в нем зарождалось усилиями всего нескольких человек, которые привлекали своих коллег, друзей-ученых, крепили с ними деловые связи, объединяли в общие проекты разные факультеты. Так постепенно у нас появился Институт живых систем, потом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Нейронаучный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центр, дальше создали </w:t>
      </w: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Институт биологии и биомедицины, собрав вместе для этого несколько НИИ и биологический факультет. Получилась мегаструктура, сильная связями с учеными разных городов своей страны и других государств. Мобильность в научном плане для нас ключевое понятие.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И впрямь, если полтора десятка лет назад Ирина Васильевна, ее коллеги и аспиранты осваивали современные методики биологических исследований в лаборатории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А.Семьянова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 Японии, то сегодня их воспитанники стажируются по всему миру - в Германии, Израиле, Испании, Великобритании и других странах. Там, где силен авторитет воспитанников ННГУ, где работают профессора, чьи проекты по живым системам поддержали разные научные фонды и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РФ. Это -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Д.Русаков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А.Верхратский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М.Цодыкс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В.Макаров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В.Тарабыкин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многие другие. Некоторых из них мы встретили в Институте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ННГУ, а работы других в виде статей увидели в только что выпущенном ННГУ первом номере журнала “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Opera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medica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et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physilogica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” (“Труды по медицине и физиологии”). Пока это издание будет выходить раз в квартал, тиражом 1000 экземпляров, но есть в свободном доступе онлайн-версия. В редколлегии - зарубежные и российские ученые.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Это тоже шаг к созданию имиджа университета как центра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- говорит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А.Семьянов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главный редактор журнала. - Издание сейчас регистрируем в ВАК, РИНЦ, а также в международных базах данных. Цель - войти в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WoS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Scopus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чтобы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импакт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-фактор “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Opera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medica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et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physiologica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” был не ниже 4. Произойдет это, если удастся минимум года четыре поддерживать высокий стандарт журнала и получить позитивное отношение к нему научного сообщества. По мнению Алексея Верхратского, профессора Манчестерского университета, руководителя лаборатории глиальной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нейробиологии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ННГУ и научного редактора “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Opera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medica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et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physiologica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”, журнал первым делом должен стать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популярным</w:t>
      </w:r>
      <w:proofErr w:type="gram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для российских авторов, ибо аналогичных, да к тому же англоязычных, в России пока нет.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  <w:lang w:eastAsia="ru-RU"/>
        </w:rPr>
      </w:pPr>
      <w:r w:rsidRPr="00B875C0">
        <w:rPr>
          <w:rFonts w:ascii="inherit" w:eastAsia="Times New Roman" w:hAnsi="inherit" w:cs="Times New Roman"/>
          <w:b/>
          <w:bCs/>
          <w:color w:val="000000"/>
          <w:sz w:val="45"/>
          <w:szCs w:val="45"/>
          <w:lang w:eastAsia="ru-RU"/>
        </w:rPr>
        <w:t>Действующие лица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Чтобы привлекать больше серьезных ученых к научному и образовательному процессу, в ННГУ разработали свою систему приглашения профессуры. Есть, например, возможность провести курс из пяти лекций в течение одной недели. Тематика обязательно встроена в учебный план, входит в системный блок, соответствующий целям подготовки. Профессор может приехать, а может прочесть лекции онлайн. Со временем, правда, убедились, что живое общение предпочтительнее, так как вызывает у студентов больший интерес и формирует долгосрочные научные связи, стимулирует академическую мобильность молодых ученых. А развивать ее надо всеми силами и на российском, и на международном уровне. Теплоходная конференция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Volga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neuroscience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meeting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преследует эти же цели: дать шанс российским ученым себя показать да непосредственно из уст корифеев мировой науки услышать мнение о проделанных работах.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Часть средств на это мероприятие принес проект, руководителем которого выступает Дмитрий Русаков (h-индекс 33), профессор Университетского колледжа Лондона.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Познакомились эти двое ученых, кстати, тоже на конференции - первой конференции Федерации европейских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нейронаучных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обществ в Берлине в 1998 году. Сегодня же оба - </w:t>
      </w: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исследователи мирового уровня, поработавшие и в ЕС, и в Азии.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Семьянов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 2014 году вернулся из Японии в </w:t>
      </w:r>
      <w:proofErr w:type="gram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Нижний</w:t>
      </w:r>
      <w:proofErr w:type="gram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предложил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Д.Русакову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взяться руководить в ННГУ лабораторией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микросетей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мозга, где сейчас изучают нейрон-глиальные взаимодействия.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Рассказ про проект</w:t>
      </w:r>
      <w:proofErr w:type="gram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поддержанный РНФ по заявке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Д.Русакова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Семьянов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начал как лекцию для первокурсников: с напоминания, что человеческий мозг - электрический орган, генерирующий активность в клетках-нейронах, связанных между собой специальными контактами - синапсами. Заметил, что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электроимпульс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 синапсах может трансформироваться в иной сигнал, например химический, и оказать действие на соседнюю клетку, а та соответствующе отреагирует... Именно электрическая активность нейронной сети мозга отражает события окружающей среды и нашу реакцию на нее, иногда - действием, иногда только ассоциацией или воспоминанием. Эту активность нейронов ученые много лет разными способами пытаются измерить, надеются понять принципы работы головного мозга. Но получается не очень. Мы считаем, потому, что нейроны - не единственные принципиальные действующие лица головного мозга. Там есть еще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глия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особо нам интересные клетки -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астроциты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В отличие от нейронов,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астроциты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не обладают электрической активностью, но число их в головном мозге примерно такое же, как число нейронов. Так разве можно игнорировать половину нашего мозга? Исследуя его функции только с помощью электроэнцефалографии или других подобных методов, мы об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астроцитах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ничего важного не узнаем. А они интересны уже тем, что в них генерируется другой тип активности - кальциевый. То есть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астроцитарная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активность тоже является неким параметром, характеризующим происходящие в мозге процессы. Сами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астроциты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соединены между собой не синапсами, как нейроны, а иначе - щелевыми контактами из белковых структур, образующими между собой синцитий. </w:t>
      </w:r>
    </w:p>
    <w:p w:rsidR="00B875C0" w:rsidRPr="00B875C0" w:rsidRDefault="00B875C0" w:rsidP="00B875C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B875C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B875C0">
        <w:rPr>
          <w:rFonts w:ascii="inherit" w:eastAsia="Times New Roman" w:hAnsi="inherit" w:cs="Times New Roman"/>
          <w:i/>
          <w:iCs/>
          <w:color w:val="000000"/>
          <w:sz w:val="27"/>
          <w:szCs w:val="27"/>
          <w:lang w:eastAsia="ru-RU"/>
        </w:rPr>
        <w:t>- Я про синцитии слышала, кажется, в связи с грибами.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Грибница и есть синцитий, где между собой клетки контактируют на уровне обмена внутриклеточным содержимым - цитоплазмой. Выходит, у нас в головном мозге есть нейронная сеть (электрическая) и есть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астроцитарная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пронизывающая мозг, как грибница, и плотно взаимодействующая </w:t>
      </w:r>
      <w:proofErr w:type="gram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</w:t>
      </w:r>
      <w:proofErr w:type="gram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нейронной. У нейронов активность кодируется в паттерне электрических импульсов, в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астроцитах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связана с пространственными характеристиками кальциевых событий. Быстрыми или долгими, большими или локальными. Так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астроциты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влияют на нейроны, и в них формируются паттерны - шаблоны связей, образцы реакции, ассоциации. Мы не знаем, кто здесь ведущий, кто ведомый. По всей видимости, система функционирует как единое целое, где две клеточные популяция, каждая по-своему, кодируют информацию, но взаимодействуют друг с другом. Это сильно повышает емкость головного мозга, его возможности по обработке и хранению информации. И то, что никак не получается объяснить, изучая только электрическую активность нейронов, мы рассчитываем сделать, рассматривая мозг целиком. </w:t>
      </w:r>
    </w:p>
    <w:p w:rsidR="00B875C0" w:rsidRPr="00B875C0" w:rsidRDefault="00B875C0" w:rsidP="00B875C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B875C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B875C0">
        <w:rPr>
          <w:rFonts w:ascii="inherit" w:eastAsia="Times New Roman" w:hAnsi="inherit" w:cs="Times New Roman"/>
          <w:i/>
          <w:iCs/>
          <w:color w:val="000000"/>
          <w:sz w:val="27"/>
          <w:szCs w:val="27"/>
          <w:lang w:eastAsia="ru-RU"/>
        </w:rPr>
        <w:t>- В этом суть проекта Дмитрия Алексеевича?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- Его задача - дать ответ, как взаимодействие нейронов и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астроцитов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 головном мозге сказывается на возникновении приступов эпилепсии. Эпилепсия - социально значимое заболевание, почти не поддающееся лечению. По данным ВОЗ, от него страдают порядка 5 процентов населения планеты. Есть лекарства, которые только помогают смягчить симптомы, например судорожную активность, но не избавить от приступов. Считается, что к эпилепсии приводят нарушения баланса возбуждения и торможения в головном мозге. Есть гипотеза о том, что судороги - это патологическая синхронизация нейронной активности, когда нейроны вдруг начинают работать все вместе. Но, воздействуя просто на связи нейронов, улучшить состояние больных не всегда получается. </w:t>
      </w:r>
      <w:proofErr w:type="gram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Если же вспомнить, что есть еще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астроциты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которые влияют на активность нейронов, то можно попробовать через них воздействовать.</w:t>
      </w:r>
      <w:proofErr w:type="gram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Может, удастся понизить активность нейронов и тем самым уменьшить риск возникновения патологических состояний.</w:t>
      </w:r>
    </w:p>
    <w:p w:rsidR="00B875C0" w:rsidRPr="00B875C0" w:rsidRDefault="00B875C0" w:rsidP="00B875C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B875C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B875C0">
        <w:rPr>
          <w:rFonts w:ascii="inherit" w:eastAsia="Times New Roman" w:hAnsi="inherit" w:cs="Times New Roman"/>
          <w:i/>
          <w:iCs/>
          <w:color w:val="000000"/>
          <w:sz w:val="27"/>
          <w:szCs w:val="27"/>
          <w:lang w:eastAsia="ru-RU"/>
        </w:rPr>
        <w:t xml:space="preserve">- Можно попробовать или уже пробовали и получили доказательства взаимосвязи нейронов и </w:t>
      </w:r>
      <w:proofErr w:type="spellStart"/>
      <w:r w:rsidRPr="00B875C0">
        <w:rPr>
          <w:rFonts w:ascii="inherit" w:eastAsia="Times New Roman" w:hAnsi="inherit" w:cs="Times New Roman"/>
          <w:i/>
          <w:iCs/>
          <w:color w:val="000000"/>
          <w:sz w:val="27"/>
          <w:szCs w:val="27"/>
          <w:lang w:eastAsia="ru-RU"/>
        </w:rPr>
        <w:t>астроцитов</w:t>
      </w:r>
      <w:proofErr w:type="spellEnd"/>
      <w:r w:rsidRPr="00B875C0">
        <w:rPr>
          <w:rFonts w:ascii="inherit" w:eastAsia="Times New Roman" w:hAnsi="inherit" w:cs="Times New Roman"/>
          <w:i/>
          <w:iCs/>
          <w:color w:val="000000"/>
          <w:sz w:val="27"/>
          <w:szCs w:val="27"/>
          <w:lang w:eastAsia="ru-RU"/>
        </w:rPr>
        <w:t>?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Мы увидели взаимосвязь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астроцитарной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активности и эпилептических разрядов головного мозга. Но как она возникает, почему, нам пока неизвестно. Основная задача гранта - понять, какова роль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астроцитов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 развитии эпилепсии. Возможно, действие лекарств надо направлять не на нейроны, как пытались ранее, а на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астроциты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Следующая задача: выяснить, накопление возбуждающих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нейропередатчиков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происходит в мозге потому, что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астроциты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их не удаляют, или по другой причине? Этим мы занимаемся на экспериментальных моделях -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трансгенных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мышах и крысах, склонных к эпилепсии. Из нашего SPF-вивария. То есть на лабораторных животных, свободных </w:t>
      </w:r>
      <w:proofErr w:type="gram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от</w:t>
      </w:r>
      <w:proofErr w:type="gram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специфических патогенов. Если сумеем, найдем фармакологические препараты, которые могли бы эту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астроцитарную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активность вернуть в норму, характерную для здорового животного. </w:t>
      </w:r>
    </w:p>
    <w:p w:rsidR="00B875C0" w:rsidRPr="00B875C0" w:rsidRDefault="00B875C0" w:rsidP="00B875C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B875C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B875C0">
        <w:rPr>
          <w:rFonts w:ascii="inherit" w:eastAsia="Times New Roman" w:hAnsi="inherit" w:cs="Times New Roman"/>
          <w:i/>
          <w:iCs/>
          <w:color w:val="000000"/>
          <w:sz w:val="27"/>
          <w:szCs w:val="27"/>
          <w:lang w:eastAsia="ru-RU"/>
        </w:rPr>
        <w:t>- И эти препараты могут оказаться эффективными для лечения страдающих эпилепсией людей?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Мы с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ейчас работаем, используя специ</w:t>
      </w: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фическую, экспериментальную фармакологию, - уточнил </w:t>
      </w:r>
      <w:proofErr w:type="spellStart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Семьянов</w:t>
      </w:r>
      <w:proofErr w:type="spellEnd"/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 - Она отличается тем, что цель лекарства - снижение симптомов или излечение недуга, а экспериментальная фармакология помогает найти физиологические мишени (конкретные белки, клетки), которые вовлечены в процесс болезни. Исследование трудоемко и длительно. Каждый этап должен завершиться публикацией, которая выносит на суд коллег наши эксперименты и выводы. Дальше - прикладной проект, работа с химиками, поиск препарата, который может использоваться как лекарство, клинические испытания и т.д. и т.п. Сейчас у нас стадия фундаментальных исследований. Заранее предсказать, как что пойдет, нельзя. Но работать надо, ибо в этом поиске надежда на избавление человечества от многих бед. Получится с эпилепсией, тут же увидим пути, которые приведут к победе над многими другими сейчас еще не излечимыми недугами.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B875C0" w:rsidRPr="00B875C0" w:rsidRDefault="00B875C0" w:rsidP="00B875C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875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Однако на конференции эта тема будет только одной из многих, о которых мы намерены вести речь. У профессуры, у молодых кандидатов наук ННГУ есть масса исследований, заслуживающих внимания коллег. </w:t>
      </w:r>
    </w:p>
    <w:p w:rsidR="006F20B3" w:rsidRDefault="006F20B3"/>
    <w:sectPr w:rsidR="006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Sans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C0"/>
    <w:rsid w:val="00492F22"/>
    <w:rsid w:val="006F20B3"/>
    <w:rsid w:val="00B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5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78033746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028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7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52048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80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88;&#1085;&#1092;.&#1088;&#1092;/sites/default/files/styles/banner/public/field/image/8_7.jpg?itok=0mcXEP-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isknews.ru/theme/science/18089/" TargetMode="External"/><Relationship Id="rId5" Type="http://schemas.openxmlformats.org/officeDocument/2006/relationships/hyperlink" Target="http://xn--m1afn.xn--p1ai/ru/%D1%81%D0%BC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2640</Words>
  <Characters>15048</Characters>
  <Application>Microsoft Office Word</Application>
  <DocSecurity>0</DocSecurity>
  <Lines>125</Lines>
  <Paragraphs>35</Paragraphs>
  <ScaleCrop>false</ScaleCrop>
  <Company>Home</Company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2016-08-18T07:13:00Z</dcterms:created>
  <dcterms:modified xsi:type="dcterms:W3CDTF">2016-08-18T11:06:00Z</dcterms:modified>
</cp:coreProperties>
</file>