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FF306F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пособ комбинированного лечения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ретиноваскулярного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макулярного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отека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FF306F" w:rsidRDefault="00416769" w:rsidP="00FF30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области медицины, а именно к офтальмологии, и </w:t>
      </w:r>
      <w:r w:rsidR="00FF306F">
        <w:rPr>
          <w:rFonts w:ascii="Times New Roman" w:eastAsia="Times New Roman" w:hAnsi="Times New Roman" w:cs="Times New Roman"/>
          <w:sz w:val="24"/>
          <w:lang w:eastAsia="ru-RU"/>
        </w:rPr>
        <w:t>используется</w:t>
      </w:r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для малоинвазивного лечения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ретиноваскулярного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макулярного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отека. Вводят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интравитреально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pars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plana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) ингибитор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вазоэндотелиального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фактора роста. Через 30 мин проводят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субпороговую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микроимпульсную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лазеркоагуляцию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в один этап всей области макулы, за исключением центральной аваскулярной зоны, циркулярными рядами в шахматном порядке. Расстояния между лазерными коагулятами по всей площади воздействия равны одному коагуляту. </w:t>
      </w:r>
      <w:proofErr w:type="gram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Далее с удвоенным интервалом между лазерными коагулятами и с меньшей мощностью излучения до 800 мВт проводят лазерную обработку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перимакулярной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зоны, не доходя 500 мкм до височных сосудистых аркад при диабетической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ретинопатии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, либо верхней или нижней половины </w:t>
      </w:r>
      <w:proofErr w:type="spellStart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>перимакулярной</w:t>
      </w:r>
      <w:proofErr w:type="spellEnd"/>
      <w:r w:rsidR="00FF306F"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зоны при тромбозе ветви центральной вены сетчатки. 2 ил., 1 пр. </w:t>
      </w:r>
      <w:proofErr w:type="gramEnd"/>
    </w:p>
    <w:p w:rsidR="00DF2D3C" w:rsidRDefault="00DF2D3C" w:rsidP="00FF30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529858" cy="4341412"/>
            <wp:effectExtent l="0" t="0" r="0" b="2540"/>
            <wp:docPr id="1" name="Рисунок 1" descr="C:\Users\Ira\Pictures\YandexDisk\Скриншоты\2017-02-15_16-26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Pictures\YandexDisk\Скриншоты\2017-02-15_16-26-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49" cy="434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0C" w:rsidRPr="00B27A0C" w:rsidRDefault="00B27A0C" w:rsidP="00B27A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B27A0C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B27A0C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B27A0C" w:rsidP="00B27A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27A0C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>Исмаилов</w:t>
      </w:r>
      <w:proofErr w:type="gramStart"/>
      <w:r w:rsid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</w:t>
      </w:r>
      <w:proofErr w:type="gramEnd"/>
      <w:r w:rsid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услим </w:t>
      </w:r>
      <w:proofErr w:type="spellStart"/>
      <w:r w:rsid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>Исмаилович</w:t>
      </w:r>
      <w:proofErr w:type="spellEnd"/>
      <w:r w:rsid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, </w:t>
      </w:r>
      <w:proofErr w:type="spellStart"/>
      <w:r w:rsidR="00FF306F" w:rsidRP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>Агмадов</w:t>
      </w:r>
      <w:proofErr w:type="spellEnd"/>
      <w:r w:rsidR="00FF306F" w:rsidRP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FF306F" w:rsidRP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>Агмад</w:t>
      </w:r>
      <w:proofErr w:type="spellEnd"/>
      <w:r w:rsidR="00FF306F" w:rsidRP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FF306F" w:rsidRPr="00FF306F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Магомедович</w:t>
      </w:r>
      <w:r w:rsidR="000C2528" w:rsidRPr="000C2528">
        <w:rPr>
          <w:rFonts w:ascii="Times New Roman" w:eastAsia="Times New Roman" w:hAnsi="Times New Roman" w:cs="NewtonC"/>
          <w:color w:val="000000"/>
          <w:sz w:val="24"/>
          <w:lang w:eastAsia="ru-RU"/>
        </w:rPr>
        <w:t>вич</w:t>
      </w:r>
      <w:proofErr w:type="spellEnd"/>
      <w:r w:rsidR="00C339FA" w:rsidRPr="00C339F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FF306F">
        <w:rPr>
          <w:rFonts w:ascii="Times New Roman" w:eastAsia="Times New Roman" w:hAnsi="Times New Roman" w:cs="Times New Roman"/>
          <w:sz w:val="24"/>
          <w:lang w:eastAsia="ru-RU"/>
        </w:rPr>
        <w:t>глазных болезней № 2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B27A0C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FF306F">
        <w:rPr>
          <w:rFonts w:ascii="Times New Roman" w:hAnsi="Times New Roman" w:cs="Times New Roman"/>
        </w:rPr>
        <w:t>2527360</w:t>
      </w:r>
    </w:p>
    <w:p w:rsidR="00416769" w:rsidRPr="00416769" w:rsidRDefault="00B27A0C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B27A0C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F306F" w:rsidRPr="00FF306F" w:rsidRDefault="00FF306F" w:rsidP="00FF306F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1. Использование указанных параметров лазера исключает возможность повреждения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нейросенсорных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слоев сетчатки как непосредственно в зоне лазерной коагуляции, так и прилегающих к ней участков, вне зависимости от степени пигментации сетчатки (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Luttrull</w:t>
      </w:r>
      <w:proofErr w:type="spellEnd"/>
      <w:proofErr w:type="gram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Ж</w:t>
      </w:r>
      <w:proofErr w:type="gram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Sramek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С,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Palanker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D,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Spink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CJ,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Musch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DC,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Department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of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Ophthalmology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School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of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Medicine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and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Hansen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Experimental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Physics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Laboratory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Stanford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University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Palo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Alto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California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, USA. </w:t>
      </w:r>
      <w:r w:rsidRPr="00FF306F">
        <w:rPr>
          <w:rFonts w:ascii="Times New Roman" w:eastAsia="Times New Roman" w:hAnsi="Times New Roman" w:cs="Times New Roman"/>
          <w:sz w:val="24"/>
          <w:lang w:val="en-US" w:eastAsia="ru-RU"/>
        </w:rPr>
        <w:t xml:space="preserve">«Long-term safety, high-resolution imaging, and tissue temperature modeling of subvisible diode micropulse photocoagulation for retinovascular macular edema.» // Retina </w:t>
      </w:r>
      <w:r w:rsidRPr="00FF306F">
        <w:rPr>
          <w:rFonts w:ascii="Times New Roman" w:eastAsia="Times New Roman" w:hAnsi="Times New Roman" w:cs="Times New Roman"/>
          <w:sz w:val="24"/>
          <w:lang w:val="en-US" w:eastAsia="ru-RU"/>
        </w:rPr>
        <w:lastRenderedPageBreak/>
        <w:t xml:space="preserve">32:375-86. </w:t>
      </w:r>
      <w:proofErr w:type="gram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2012 г.), что позволяет достигнуть существенного улучшения не только анатомического, но и функционального.</w:t>
      </w:r>
      <w:proofErr w:type="gramEnd"/>
    </w:p>
    <w:p w:rsidR="00FF306F" w:rsidRPr="00FF306F" w:rsidRDefault="00FF306F" w:rsidP="00FF306F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2. В режиме повторения серий низкоэнергетических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микроимпульсов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энергия каждого последующего импульса накапливается внутри ткани-мишени, чем достигается лечебный эффект, аналогичный пороговым методикам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лазеркоагуляции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>, но без свойственных им осложнений.</w:t>
      </w:r>
    </w:p>
    <w:p w:rsidR="00FF306F" w:rsidRPr="00FF306F" w:rsidRDefault="00FF306F" w:rsidP="00FF306F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3. Использование расширенного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перимакулярного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низкоэнергетического лазерного воздействия позволяет обработать всю зону ишемии и сосудистого просачивания сетчатки, благодаря чему улучшается хориоретинальный обмен и абсорбция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интр</w:t>
      </w:r>
      <w:proofErr w:type="gram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субретинальной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жидкости (при тромбозе ветви ЦВС ишемия и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ликидж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развиваются за счет венозного стаза в зоне сетчатки, соответствующей "выключенной" вене; </w:t>
      </w:r>
      <w:proofErr w:type="gram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при диабетической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ретинопатии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патологические изменения сосудистой стенки капилляров также приводят к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ликиджу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и сбросу крови по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прекапиллярным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анастомозам с развитием ишемии сетчатки), а также уменьшение зоны ишемии сетчатки (являющейся основным продуцентом факторов неоангиогенеза, причиной прогрессирования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ретинопатии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и персистенции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макулярного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отека), за счет гибели в зоне воздействия нежизнеспособных клеток пигментного эпителия, без сужения поля зрения или образования скотом.</w:t>
      </w:r>
      <w:proofErr w:type="gramEnd"/>
    </w:p>
    <w:p w:rsidR="00FF306F" w:rsidRPr="00FF306F" w:rsidRDefault="00FF306F" w:rsidP="00FF306F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Интравитреальное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введение ингибитора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вазоэндотелиального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фактора роста способствует восстановлению нарушенной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цитоархитектоники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сосудистой стенки, уменьшению ее проницаемости и транссудации, а также запустеванию патологических новообразованных сосудов. Введение ингибитора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вазоэндотелиального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фактора роста в комбинации с лазерным воздействием, которое повышает абсорбцию уже просочившейся жидкости, дает выраженный эффект в лечении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макулярного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отека.</w:t>
      </w:r>
    </w:p>
    <w:p w:rsidR="00FF306F" w:rsidRPr="00FF306F" w:rsidRDefault="00FF306F" w:rsidP="00FF306F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5. Использование ингибиторов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вазоэндотелиального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фактора роста, также существенно уменьшало вторичный отек диска зрительного нерва, что облегчает венозный отток и, в свою очередь, способствует резорбции отека макулы.</w:t>
      </w:r>
    </w:p>
    <w:p w:rsidR="00FF306F" w:rsidRDefault="00FF306F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Способ позволяет повысить эффективность лечения отека макулы в ранние сроки, до появления необратимых изменений и стойкого снижения зрения, восстановить зрительные функции центральной зоны сетчатки за счет атравматического воздействия указанных параметров лазерного излучения, обработки всей зоны ишемии и сосудистого просачивания сетчатки. Ведение ингибитора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вазоэндотелиального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фактора роста обеспечивает восстановление нарушенной </w:t>
      </w:r>
      <w:proofErr w:type="spellStart"/>
      <w:r w:rsidRPr="00FF306F">
        <w:rPr>
          <w:rFonts w:ascii="Times New Roman" w:eastAsia="Times New Roman" w:hAnsi="Times New Roman" w:cs="Times New Roman"/>
          <w:sz w:val="24"/>
          <w:lang w:eastAsia="ru-RU"/>
        </w:rPr>
        <w:t>цитоархитектоники</w:t>
      </w:r>
      <w:proofErr w:type="spellEnd"/>
      <w:r w:rsidRPr="00FF306F">
        <w:rPr>
          <w:rFonts w:ascii="Times New Roman" w:eastAsia="Times New Roman" w:hAnsi="Times New Roman" w:cs="Times New Roman"/>
          <w:sz w:val="24"/>
          <w:lang w:eastAsia="ru-RU"/>
        </w:rPr>
        <w:t xml:space="preserve"> сосудистой стенки, уменьшение ее проницаемости и транссудации, запустевание новообразованных сосудов, уменьшение вторичных отеков диска зрительного нерва. </w:t>
      </w:r>
    </w:p>
    <w:p w:rsidR="00A143EA" w:rsidRPr="000557E1" w:rsidRDefault="00B27A0C" w:rsidP="006461A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операции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0C2528"/>
    <w:rsid w:val="002213B5"/>
    <w:rsid w:val="00270E35"/>
    <w:rsid w:val="002D55C1"/>
    <w:rsid w:val="00351D1D"/>
    <w:rsid w:val="00416769"/>
    <w:rsid w:val="004540B0"/>
    <w:rsid w:val="00481972"/>
    <w:rsid w:val="005842B6"/>
    <w:rsid w:val="006461A2"/>
    <w:rsid w:val="00774161"/>
    <w:rsid w:val="008015E7"/>
    <w:rsid w:val="00843F49"/>
    <w:rsid w:val="00904A9E"/>
    <w:rsid w:val="00951D3F"/>
    <w:rsid w:val="00A143EA"/>
    <w:rsid w:val="00A61D34"/>
    <w:rsid w:val="00B26EC0"/>
    <w:rsid w:val="00B27A0C"/>
    <w:rsid w:val="00C334CE"/>
    <w:rsid w:val="00C339FA"/>
    <w:rsid w:val="00C53ABF"/>
    <w:rsid w:val="00C9563B"/>
    <w:rsid w:val="00D14D6A"/>
    <w:rsid w:val="00DF2D3C"/>
    <w:rsid w:val="00E17F88"/>
    <w:rsid w:val="00E60507"/>
    <w:rsid w:val="00E86F80"/>
    <w:rsid w:val="00E975D7"/>
    <w:rsid w:val="00EE1C8B"/>
    <w:rsid w:val="00F003B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FE68-786C-443B-ABAB-F3877265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2017-02-15T12:34:00Z</dcterms:created>
  <dcterms:modified xsi:type="dcterms:W3CDTF">2017-02-16T06:35:00Z</dcterms:modified>
</cp:coreProperties>
</file>