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AC" w:rsidRDefault="00CF6661" w:rsidP="00CF6661">
      <w:pPr>
        <w:tabs>
          <w:tab w:val="center" w:pos="4606"/>
          <w:tab w:val="left" w:pos="7185"/>
        </w:tabs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ab/>
      </w:r>
      <w:r w:rsidR="00D328BC" w:rsidRPr="00D328BC">
        <w:rPr>
          <w:rFonts w:ascii="Times New Roman" w:hAnsi="Times New Roman" w:cs="Times New Roman"/>
          <w:b/>
        </w:rPr>
        <w:t>ТЕМЫ ПРАКТИЧЕСКИХ ЗАНЯТИЙ</w:t>
      </w:r>
      <w:r>
        <w:rPr>
          <w:rFonts w:ascii="Times New Roman" w:hAnsi="Times New Roman" w:cs="Times New Roman"/>
          <w:b/>
        </w:rPr>
        <w:tab/>
      </w:r>
    </w:p>
    <w:p w:rsidR="00CF6661" w:rsidRPr="00D328BC" w:rsidRDefault="00CF6661" w:rsidP="00CF6661">
      <w:pPr>
        <w:tabs>
          <w:tab w:val="center" w:pos="4606"/>
          <w:tab w:val="left" w:pos="7185"/>
        </w:tabs>
        <w:rPr>
          <w:rFonts w:ascii="Times New Roman" w:hAnsi="Times New Roman" w:cs="Times New Roman"/>
          <w:b/>
        </w:rPr>
      </w:pPr>
    </w:p>
    <w:p w:rsidR="00BB7EA7" w:rsidRPr="00D328BC" w:rsidRDefault="0080197A">
      <w:pPr>
        <w:pStyle w:val="1"/>
        <w:numPr>
          <w:ilvl w:val="0"/>
          <w:numId w:val="1"/>
        </w:numPr>
        <w:shd w:val="clear" w:color="auto" w:fill="auto"/>
        <w:tabs>
          <w:tab w:val="left" w:pos="342"/>
        </w:tabs>
        <w:ind w:left="360"/>
        <w:rPr>
          <w:sz w:val="28"/>
          <w:szCs w:val="28"/>
        </w:rPr>
      </w:pPr>
      <w:r w:rsidRPr="00D328BC">
        <w:rPr>
          <w:sz w:val="28"/>
          <w:szCs w:val="28"/>
        </w:rPr>
        <w:t>Анестезия в стоматологии.</w:t>
      </w:r>
    </w:p>
    <w:p w:rsidR="00D328BC" w:rsidRDefault="0080197A">
      <w:pPr>
        <w:pStyle w:val="1"/>
        <w:shd w:val="clear" w:color="auto" w:fill="auto"/>
        <w:ind w:left="360" w:right="380" w:firstLine="0"/>
        <w:rPr>
          <w:sz w:val="28"/>
          <w:szCs w:val="28"/>
        </w:rPr>
      </w:pPr>
      <w:r w:rsidRPr="00D328BC">
        <w:rPr>
          <w:sz w:val="28"/>
          <w:szCs w:val="28"/>
        </w:rPr>
        <w:t xml:space="preserve">Препараты для местной анестезии. Механизм действия, классификация. Токсичность, активность и длительность действиям/а. </w:t>
      </w:r>
    </w:p>
    <w:p w:rsidR="00D328BC" w:rsidRDefault="0080197A">
      <w:pPr>
        <w:pStyle w:val="1"/>
        <w:shd w:val="clear" w:color="auto" w:fill="auto"/>
        <w:ind w:left="360" w:right="380" w:firstLine="0"/>
        <w:rPr>
          <w:sz w:val="28"/>
          <w:szCs w:val="28"/>
        </w:rPr>
      </w:pPr>
      <w:r w:rsidRPr="00D328BC">
        <w:rPr>
          <w:sz w:val="28"/>
          <w:szCs w:val="28"/>
        </w:rPr>
        <w:t xml:space="preserve">Вазоконстрикторы. Классификация и механизм действия. Показания и противопоказания к их использованию в составе </w:t>
      </w:r>
      <w:proofErr w:type="gramStart"/>
      <w:r w:rsidRPr="00D328BC">
        <w:rPr>
          <w:sz w:val="28"/>
          <w:szCs w:val="28"/>
        </w:rPr>
        <w:t>м</w:t>
      </w:r>
      <w:proofErr w:type="gramEnd"/>
      <w:r w:rsidRPr="00D328BC">
        <w:rPr>
          <w:sz w:val="28"/>
          <w:szCs w:val="28"/>
        </w:rPr>
        <w:t>/а. Обоснование выбора препарата для обезболивания основных стоматологических заболеваний в амбулаторной практике. Побочные действия м/а (местные и системные)</w:t>
      </w:r>
      <w:proofErr w:type="gramStart"/>
      <w:r w:rsidRPr="00D328BC">
        <w:rPr>
          <w:sz w:val="28"/>
          <w:szCs w:val="28"/>
        </w:rPr>
        <w:t>.О</w:t>
      </w:r>
      <w:proofErr w:type="gramEnd"/>
      <w:r w:rsidRPr="00D328BC">
        <w:rPr>
          <w:sz w:val="28"/>
          <w:szCs w:val="28"/>
        </w:rPr>
        <w:t>шибки и осложнения местного обезболивания в стоматологии, вызванные нарушением техники его проведения.</w:t>
      </w:r>
    </w:p>
    <w:p w:rsidR="00BB7EA7" w:rsidRPr="00D328BC" w:rsidRDefault="0080197A">
      <w:pPr>
        <w:pStyle w:val="1"/>
        <w:shd w:val="clear" w:color="auto" w:fill="auto"/>
        <w:ind w:left="360" w:right="380" w:firstLine="0"/>
        <w:rPr>
          <w:sz w:val="28"/>
          <w:szCs w:val="28"/>
        </w:rPr>
      </w:pPr>
      <w:r w:rsidRPr="00D328BC">
        <w:rPr>
          <w:sz w:val="28"/>
          <w:szCs w:val="28"/>
        </w:rPr>
        <w:t xml:space="preserve"> Осложнения местного обезболивания, вызванные неправильным выбором препарата</w:t>
      </w:r>
    </w:p>
    <w:p w:rsidR="00BB7EA7" w:rsidRDefault="0080197A">
      <w:pPr>
        <w:pStyle w:val="1"/>
        <w:numPr>
          <w:ilvl w:val="0"/>
          <w:numId w:val="1"/>
        </w:numPr>
        <w:shd w:val="clear" w:color="auto" w:fill="auto"/>
        <w:tabs>
          <w:tab w:val="left" w:pos="380"/>
        </w:tabs>
        <w:ind w:left="360" w:right="1080"/>
      </w:pPr>
      <w:r w:rsidRPr="00D328BC">
        <w:rPr>
          <w:sz w:val="28"/>
          <w:szCs w:val="28"/>
        </w:rPr>
        <w:t>Принципы купирования неотложных состояний. Диагностика, принципы организации первой врачебной помощи при обмороке, коллапсе, крапивнице, ангионевротическом отеке Квинке, бронхиальной астме, анафилактическом шоке</w:t>
      </w:r>
      <w:r>
        <w:t>.</w:t>
      </w:r>
    </w:p>
    <w:p w:rsidR="00BB7EA7" w:rsidRPr="00D328BC" w:rsidRDefault="0080197A">
      <w:pPr>
        <w:pStyle w:val="1"/>
        <w:numPr>
          <w:ilvl w:val="0"/>
          <w:numId w:val="1"/>
        </w:numPr>
        <w:shd w:val="clear" w:color="auto" w:fill="auto"/>
        <w:tabs>
          <w:tab w:val="left" w:pos="385"/>
        </w:tabs>
        <w:ind w:left="360" w:right="380"/>
        <w:rPr>
          <w:sz w:val="28"/>
          <w:szCs w:val="28"/>
        </w:rPr>
      </w:pPr>
      <w:r w:rsidRPr="00D328BC">
        <w:rPr>
          <w:sz w:val="28"/>
          <w:szCs w:val="28"/>
        </w:rPr>
        <w:t xml:space="preserve">Принципы купирования неотложных состояний. </w:t>
      </w:r>
      <w:proofErr w:type="gramStart"/>
      <w:r w:rsidRPr="00D328BC">
        <w:rPr>
          <w:sz w:val="28"/>
          <w:szCs w:val="28"/>
        </w:rPr>
        <w:t>Диагностика, принципы организации первой врачебной помощи при гипертоническом кризе, ишемической болезни с</w:t>
      </w:r>
      <w:r w:rsidR="00D328BC">
        <w:rPr>
          <w:sz w:val="28"/>
          <w:szCs w:val="28"/>
        </w:rPr>
        <w:t>ердца, приступе стенокардии, ос</w:t>
      </w:r>
      <w:r w:rsidRPr="00D328BC">
        <w:rPr>
          <w:sz w:val="28"/>
          <w:szCs w:val="28"/>
        </w:rPr>
        <w:t>тром инфаркте миокарда, кровотечении, случайном инъекционном введении агрессивных жидкостей, асфиксии, сахарном диабете, диабетической (гипергликемической) коме и гипогликемической коме, приступе эпилепсии, истерии и</w:t>
      </w:r>
      <w:proofErr w:type="gramEnd"/>
    </w:p>
    <w:p w:rsidR="00BB7EA7" w:rsidRDefault="00D328BC">
      <w:pPr>
        <w:pStyle w:val="1"/>
        <w:shd w:val="clear" w:color="auto" w:fill="auto"/>
        <w:ind w:left="360" w:firstLine="0"/>
      </w:pPr>
      <w:r>
        <w:rPr>
          <w:sz w:val="28"/>
          <w:szCs w:val="28"/>
        </w:rPr>
        <w:t xml:space="preserve">тиретоксическом </w:t>
      </w:r>
      <w:proofErr w:type="gramStart"/>
      <w:r w:rsidR="0080197A" w:rsidRPr="00D328BC">
        <w:rPr>
          <w:sz w:val="28"/>
          <w:szCs w:val="28"/>
        </w:rPr>
        <w:t>кризе</w:t>
      </w:r>
      <w:proofErr w:type="gramEnd"/>
    </w:p>
    <w:p w:rsidR="00BB7EA7" w:rsidRPr="00D328BC" w:rsidRDefault="0080197A">
      <w:pPr>
        <w:pStyle w:val="1"/>
        <w:numPr>
          <w:ilvl w:val="0"/>
          <w:numId w:val="1"/>
        </w:numPr>
        <w:shd w:val="clear" w:color="auto" w:fill="auto"/>
        <w:tabs>
          <w:tab w:val="left" w:pos="390"/>
        </w:tabs>
        <w:ind w:left="360"/>
        <w:rPr>
          <w:sz w:val="28"/>
          <w:szCs w:val="28"/>
        </w:rPr>
      </w:pPr>
      <w:r w:rsidRPr="00D328BC">
        <w:rPr>
          <w:sz w:val="28"/>
          <w:szCs w:val="28"/>
        </w:rPr>
        <w:t>Методы общей анестезии. Ингаляционные методы.</w:t>
      </w:r>
    </w:p>
    <w:p w:rsidR="00BB7EA7" w:rsidRPr="00D328BC" w:rsidRDefault="00D328BC">
      <w:pPr>
        <w:pStyle w:val="1"/>
        <w:numPr>
          <w:ilvl w:val="0"/>
          <w:numId w:val="1"/>
        </w:numPr>
        <w:shd w:val="clear" w:color="auto" w:fill="auto"/>
        <w:tabs>
          <w:tab w:val="left" w:pos="38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Н</w:t>
      </w:r>
      <w:r w:rsidR="0080197A" w:rsidRPr="00D328BC">
        <w:rPr>
          <w:sz w:val="28"/>
          <w:szCs w:val="28"/>
        </w:rPr>
        <w:t>еингаляционные методы анестезии.</w:t>
      </w:r>
    </w:p>
    <w:p w:rsidR="00BB7EA7" w:rsidRPr="00D328BC" w:rsidRDefault="0080197A">
      <w:pPr>
        <w:pStyle w:val="1"/>
        <w:numPr>
          <w:ilvl w:val="0"/>
          <w:numId w:val="1"/>
        </w:numPr>
        <w:shd w:val="clear" w:color="auto" w:fill="auto"/>
        <w:tabs>
          <w:tab w:val="left" w:pos="375"/>
        </w:tabs>
        <w:ind w:left="360" w:right="380"/>
        <w:jc w:val="both"/>
        <w:rPr>
          <w:sz w:val="28"/>
          <w:szCs w:val="28"/>
        </w:rPr>
      </w:pPr>
      <w:r w:rsidRPr="00D328BC">
        <w:rPr>
          <w:sz w:val="28"/>
          <w:szCs w:val="28"/>
        </w:rPr>
        <w:t>Особенности анестезиологического обеспечения операций у больных с хирургическими заболеваниями челюстно-лицевой области, в условиях стационара и амбулатории</w:t>
      </w:r>
    </w:p>
    <w:p w:rsidR="00BB7EA7" w:rsidRPr="00D328BC" w:rsidRDefault="0080197A">
      <w:pPr>
        <w:pStyle w:val="1"/>
        <w:numPr>
          <w:ilvl w:val="0"/>
          <w:numId w:val="1"/>
        </w:numPr>
        <w:shd w:val="clear" w:color="auto" w:fill="auto"/>
        <w:tabs>
          <w:tab w:val="left" w:pos="361"/>
        </w:tabs>
        <w:ind w:left="360" w:right="380"/>
      </w:pPr>
      <w:r w:rsidRPr="00D328BC">
        <w:rPr>
          <w:sz w:val="28"/>
          <w:szCs w:val="28"/>
        </w:rPr>
        <w:lastRenderedPageBreak/>
        <w:t>Терминальное состояние, основные понятия, стадии умирания,</w:t>
      </w:r>
      <w:r w:rsidR="00D328BC">
        <w:rPr>
          <w:sz w:val="28"/>
          <w:szCs w:val="28"/>
        </w:rPr>
        <w:t xml:space="preserve"> клинические проявления, диагностические критерии. Организация реанимационных мероприятий. Принципы оказания экстренной помощи и сердечно-легочной реанимации. Правовые аспекты вопроса.</w:t>
      </w:r>
    </w:p>
    <w:p w:rsidR="00D328BC" w:rsidRPr="00D328BC" w:rsidRDefault="00D328BC">
      <w:pPr>
        <w:pStyle w:val="1"/>
        <w:numPr>
          <w:ilvl w:val="0"/>
          <w:numId w:val="1"/>
        </w:numPr>
        <w:shd w:val="clear" w:color="auto" w:fill="auto"/>
        <w:tabs>
          <w:tab w:val="left" w:pos="361"/>
        </w:tabs>
        <w:ind w:left="360" w:right="380"/>
      </w:pPr>
      <w:r>
        <w:rPr>
          <w:sz w:val="28"/>
          <w:szCs w:val="28"/>
        </w:rPr>
        <w:t>Шоки: классификация, патогенез, клиника, лечение. Представление о полиорганной недостаточности.</w:t>
      </w:r>
    </w:p>
    <w:p w:rsidR="00D328BC" w:rsidRPr="00D328BC" w:rsidRDefault="00D328BC">
      <w:pPr>
        <w:pStyle w:val="1"/>
        <w:numPr>
          <w:ilvl w:val="0"/>
          <w:numId w:val="1"/>
        </w:numPr>
        <w:shd w:val="clear" w:color="auto" w:fill="auto"/>
        <w:tabs>
          <w:tab w:val="left" w:pos="361"/>
        </w:tabs>
        <w:ind w:left="360" w:right="380"/>
      </w:pPr>
      <w:r>
        <w:rPr>
          <w:sz w:val="28"/>
          <w:szCs w:val="28"/>
        </w:rPr>
        <w:t>Основы токсикологии, общие принципы детоксикации.</w:t>
      </w:r>
    </w:p>
    <w:p w:rsidR="00D328BC" w:rsidRDefault="00D328BC" w:rsidP="00D328BC">
      <w:pPr>
        <w:pStyle w:val="1"/>
        <w:shd w:val="clear" w:color="auto" w:fill="auto"/>
        <w:tabs>
          <w:tab w:val="left" w:pos="142"/>
        </w:tabs>
        <w:ind w:left="142" w:right="380" w:hanging="218"/>
      </w:pPr>
      <w:r>
        <w:rPr>
          <w:sz w:val="28"/>
          <w:szCs w:val="28"/>
        </w:rPr>
        <w:t>10.Занятие в симуляционн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аккредититационном центре.</w:t>
      </w:r>
    </w:p>
    <w:sectPr w:rsidR="00D328BC" w:rsidSect="00D328BC">
      <w:type w:val="continuous"/>
      <w:pgSz w:w="11906" w:h="16838"/>
      <w:pgMar w:top="1135" w:right="1335" w:bottom="2825" w:left="13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97A" w:rsidRDefault="0080197A">
      <w:r>
        <w:separator/>
      </w:r>
    </w:p>
  </w:endnote>
  <w:endnote w:type="continuationSeparator" w:id="0">
    <w:p w:rsidR="0080197A" w:rsidRDefault="00801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97A" w:rsidRDefault="0080197A"/>
  </w:footnote>
  <w:footnote w:type="continuationSeparator" w:id="0">
    <w:p w:rsidR="0080197A" w:rsidRDefault="0080197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34918"/>
    <w:multiLevelType w:val="multilevel"/>
    <w:tmpl w:val="A6323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B7EA7"/>
    <w:rsid w:val="005864AC"/>
    <w:rsid w:val="007A6F72"/>
    <w:rsid w:val="0080197A"/>
    <w:rsid w:val="00BB7EA7"/>
    <w:rsid w:val="00CF6661"/>
    <w:rsid w:val="00D3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6F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6F72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A6F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paragraph" w:customStyle="1" w:styleId="1">
    <w:name w:val="Основной текст1"/>
    <w:basedOn w:val="a"/>
    <w:link w:val="a4"/>
    <w:rsid w:val="007A6F72"/>
    <w:pPr>
      <w:shd w:val="clear" w:color="auto" w:fill="FFFFFF"/>
      <w:spacing w:line="370" w:lineRule="exact"/>
      <w:ind w:hanging="340"/>
    </w:pPr>
    <w:rPr>
      <w:rFonts w:ascii="Times New Roman" w:eastAsia="Times New Roman" w:hAnsi="Times New Roman" w:cs="Times New Roman"/>
      <w:spacing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70" w:lineRule="exact"/>
      <w:ind w:hanging="340"/>
    </w:pPr>
    <w:rPr>
      <w:rFonts w:ascii="Times New Roman" w:eastAsia="Times New Roman" w:hAnsi="Times New Roman" w:cs="Times New Roman"/>
      <w:spacing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Rea</cp:lastModifiedBy>
  <cp:revision>2</cp:revision>
  <dcterms:created xsi:type="dcterms:W3CDTF">2017-11-25T09:23:00Z</dcterms:created>
  <dcterms:modified xsi:type="dcterms:W3CDTF">2017-12-05T06:14:00Z</dcterms:modified>
</cp:coreProperties>
</file>