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A" w:rsidRPr="00836C7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7D23B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7D23BA" w:rsidRPr="00836C7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7D23BA" w:rsidRPr="00836C7A" w:rsidRDefault="007D23BA" w:rsidP="007D23BA">
      <w:pPr>
        <w:pStyle w:val="a7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</w:t>
      </w:r>
      <w:r w:rsidRPr="00836C7A">
        <w:rPr>
          <w:color w:val="000000"/>
          <w:sz w:val="24"/>
          <w:szCs w:val="24"/>
        </w:rPr>
        <w:t>ФГБОУ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ВО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ДГМУ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Минздрава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России</w:t>
      </w:r>
      <w:r w:rsidRPr="00836C7A">
        <w:rPr>
          <w:color w:val="000000"/>
          <w:sz w:val="24"/>
          <w:szCs w:val="24"/>
        </w:rPr>
        <w:t>)</w:t>
      </w:r>
    </w:p>
    <w:p w:rsidR="007D23BA" w:rsidRDefault="007D23BA" w:rsidP="007D23BA">
      <w:pPr>
        <w:tabs>
          <w:tab w:val="left" w:pos="4207"/>
        </w:tabs>
        <w:spacing w:after="0"/>
        <w:jc w:val="center"/>
      </w:pPr>
    </w:p>
    <w:p w:rsidR="007D23BA" w:rsidRPr="00836C7A" w:rsidRDefault="007D23BA" w:rsidP="007D23BA">
      <w:pPr>
        <w:tabs>
          <w:tab w:val="left" w:pos="4207"/>
        </w:tabs>
        <w:spacing w:after="0"/>
        <w:jc w:val="center"/>
      </w:pPr>
    </w:p>
    <w:p w:rsidR="007D23BA" w:rsidRPr="0014222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D23BA" w:rsidRPr="0014222A" w:rsidRDefault="007D23BA" w:rsidP="007D2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23BA" w:rsidRPr="005B58AE" w:rsidRDefault="007D23BA" w:rsidP="007D23BA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D23BA" w:rsidRDefault="007D23BA" w:rsidP="007D23BA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D55F7" w:rsidRPr="002D55F7" w:rsidRDefault="002D55F7" w:rsidP="002D55F7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55F7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2D55F7" w:rsidRPr="002D55F7" w:rsidRDefault="002D55F7" w:rsidP="002D55F7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55F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23BA" w:rsidRPr="002D55F7" w:rsidRDefault="007D23BA" w:rsidP="002D5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5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D55F7">
        <w:rPr>
          <w:rFonts w:ascii="Times New Roman" w:hAnsi="Times New Roman"/>
          <w:b/>
          <w:sz w:val="24"/>
          <w:szCs w:val="24"/>
        </w:rPr>
        <w:t>Э</w:t>
      </w:r>
      <w:r w:rsidR="002D55F7" w:rsidRPr="002D55F7">
        <w:rPr>
          <w:rFonts w:ascii="Times New Roman" w:hAnsi="Times New Roman"/>
          <w:b/>
          <w:sz w:val="24"/>
          <w:szCs w:val="24"/>
        </w:rPr>
        <w:t>ндодонтия</w:t>
      </w:r>
      <w:proofErr w:type="spellEnd"/>
      <w:r w:rsidRPr="002D55F7">
        <w:rPr>
          <w:rFonts w:ascii="Times New Roman" w:hAnsi="Times New Roman"/>
          <w:b/>
          <w:sz w:val="24"/>
          <w:szCs w:val="24"/>
        </w:rPr>
        <w:t>»</w:t>
      </w:r>
    </w:p>
    <w:p w:rsidR="007D23BA" w:rsidRDefault="007D23BA" w:rsidP="007D2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3BA" w:rsidRDefault="00BB6162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дисциплины: 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42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(направление): 31.05.03 Стоматология</w:t>
      </w:r>
    </w:p>
    <w:p w:rsidR="007D23BA" w:rsidRDefault="001F5082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r w:rsidR="007D23BA">
        <w:rPr>
          <w:rFonts w:ascii="Times New Roman" w:hAnsi="Times New Roman"/>
          <w:sz w:val="24"/>
          <w:szCs w:val="24"/>
        </w:rPr>
        <w:t>высшего образования – СПЕЦИАЛИТЕТ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– Врач-стоматолог 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Стоматологический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терапевтической стоматологии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4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7, 8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трудоёмкость (в зачётных единицах/часах): 5/180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30 часов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(семинарские) занятия – 88 часов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26 часов</w:t>
      </w:r>
    </w:p>
    <w:p w:rsidR="007D23BA" w:rsidRDefault="007D23BA" w:rsidP="007D2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Форма контроля – экзамен (36 часов)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МАХАЧКАЛА, </w:t>
      </w:r>
      <w:r w:rsidR="00BB6162">
        <w:rPr>
          <w:rFonts w:ascii="Times New Roman" w:hAnsi="Times New Roman"/>
          <w:b/>
          <w:sz w:val="24"/>
          <w:szCs w:val="24"/>
        </w:rPr>
        <w:t>2020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D23BA" w:rsidSect="00E55581">
          <w:footerReference w:type="default" r:id="rId7"/>
          <w:pgSz w:w="11906" w:h="16838"/>
          <w:pgMar w:top="1134" w:right="1134" w:bottom="1134" w:left="1560" w:header="709" w:footer="709" w:gutter="0"/>
          <w:cols w:space="720"/>
        </w:sectPr>
      </w:pPr>
    </w:p>
    <w:p w:rsidR="007D23BA" w:rsidRDefault="007D23BA" w:rsidP="007D23BA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7D23BA" w:rsidRDefault="007D23BA" w:rsidP="007D23BA">
      <w:pPr>
        <w:pStyle w:val="4"/>
        <w:shd w:val="clear" w:color="auto" w:fill="auto"/>
        <w:tabs>
          <w:tab w:val="left" w:pos="-284"/>
        </w:tabs>
        <w:spacing w:line="240" w:lineRule="auto"/>
        <w:ind w:left="-567" w:firstLine="0"/>
        <w:rPr>
          <w:sz w:val="24"/>
          <w:szCs w:val="24"/>
        </w:rPr>
      </w:pPr>
    </w:p>
    <w:p w:rsidR="007D23BA" w:rsidRDefault="007D23BA" w:rsidP="007D23BA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подготовка врача стоматолога, </w:t>
      </w:r>
      <w:r>
        <w:rPr>
          <w:rFonts w:ascii="Times New Roman" w:hAnsi="Times New Roman"/>
          <w:spacing w:val="2"/>
          <w:sz w:val="24"/>
          <w:szCs w:val="24"/>
        </w:rPr>
        <w:t xml:space="preserve">способного оказать </w:t>
      </w:r>
      <w:r>
        <w:rPr>
          <w:rFonts w:ascii="Times New Roman" w:hAnsi="Times New Roman"/>
          <w:spacing w:val="1"/>
          <w:sz w:val="24"/>
          <w:szCs w:val="24"/>
        </w:rPr>
        <w:t xml:space="preserve">пациентам 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7D23BA" w:rsidRDefault="007D23BA" w:rsidP="007D23BA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>
        <w:rPr>
          <w:sz w:val="24"/>
          <w:szCs w:val="24"/>
          <w:u w:val="single"/>
        </w:rPr>
        <w:t>: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Освоение методов диагностики, используемых при обследовании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Изучение показаний для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лечения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Освоение планирования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лечения  заболевания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практических умений по </w:t>
      </w:r>
      <w:r>
        <w:rPr>
          <w:rFonts w:ascii="Times New Roman" w:hAnsi="Times New Roman"/>
          <w:spacing w:val="1"/>
          <w:sz w:val="24"/>
          <w:szCs w:val="24"/>
        </w:rPr>
        <w:t>терапевтическому</w:t>
      </w:r>
      <w:r>
        <w:rPr>
          <w:rFonts w:ascii="Times New Roman" w:hAnsi="Times New Roman"/>
          <w:sz w:val="24"/>
          <w:szCs w:val="24"/>
        </w:rPr>
        <w:t xml:space="preserve"> лечению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амбулаторно-поликлинических условиях;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Обучение </w:t>
      </w:r>
      <w:proofErr w:type="gramStart"/>
      <w:r>
        <w:rPr>
          <w:rFonts w:ascii="Times New Roman" w:hAnsi="Times New Roman"/>
          <w:sz w:val="24"/>
          <w:szCs w:val="24"/>
        </w:rPr>
        <w:t>профилактике,  выявлению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 устранению  осложнений при лечении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 пульпы и периодонта.</w:t>
      </w:r>
    </w:p>
    <w:p w:rsidR="007D23BA" w:rsidRDefault="007D23BA" w:rsidP="007D23B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3BA" w:rsidRDefault="007D23BA" w:rsidP="007D23BA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7D23BA" w:rsidRDefault="007D23BA" w:rsidP="007D23B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D23BA" w:rsidRDefault="007D23BA" w:rsidP="007D23B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7D23BA" w:rsidRDefault="007D23BA" w:rsidP="007D23B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ФГОС 3++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0257"/>
      </w:tblGrid>
      <w:tr w:rsidR="007D23BA" w:rsidRPr="00DC3BB7" w:rsidTr="00E54C85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7D23BA" w:rsidRPr="00D20D39" w:rsidRDefault="007D23BA" w:rsidP="00E54C85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216"/>
            </w:tblGrid>
            <w:tr w:rsidR="007D23BA" w:rsidRPr="00D20D39" w:rsidTr="00E54C85">
              <w:tc>
                <w:tcPr>
                  <w:tcW w:w="4815" w:type="dxa"/>
                  <w:vAlign w:val="center"/>
                </w:tcPr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и наименование компетенции </w:t>
                  </w:r>
                </w:p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(или ее части)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и наименование индикатора достижения   компетенции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Общепрофессиональные компетенции (ОПК)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ОПК5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Способен проводить обследование пациента с целью установления диагноза при решении профессиональных задач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ОПК5 Способен проводить обследование пациентов с целью установления диагноза пульпит и верхушечный периодонтит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методику сбора жалоб, анамнеза жизни и заболевания у пациентов с патологией пульпы и верхушечного периодонта; факторы риска и причины развития заболеваний зубов; методику осмотра и объективного обследования; клиническую картину, методы диагностики заболеваний; методы лабораторных и инструментальных исследований для оценки состояния пульпы и верхушечного периодонта, международную статистическую классификацию болезней (МКБ);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сбор жалоб, анамнеза жизни и заболевания у пациентов с патологией пульпы и верхушечного периодонта, выявлять факторы риска и причины развития заболеваний; применять основные и дополнительные методы обследования; формулировать предварительный диагноз, составлять план проведения лабораторных, инструментальных и дополнительных исследований у пациентов с патологией пульпы и верхушечного периодонта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направлять на лабораторные, инструментальные и дополнительные исследования пациентов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методикой сбора жалоб, анамнеза жизни и заболевания, объективного обследования и диагностики заболеваний пульпы и верхушечного периодонта; постановки предварительного диагноза в соответствии с международной статистической классификацией болезней (МКБ); 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методикой составления плана проведения инструментальных, лабораторных, дополнительных исследований, консультаций врачей-специалистов; направления пациентов на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инструментальные, лабораторные, дополнительные исследования, консультации врачей-специалистов в соответствии с действующими порядками оказания медицинской помощи, клиническими рекомендациями, с учетом стандартов медицинской помощи;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ИД2 ОПК5 Способен интерпретировать результаты обследований пациентов с целью установления диагноза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методы диагностики заболеваний пульпы и верхушечного периодонта; клиническую картину, методы диагностики и дифференциальную диагностику заболеваний пульпы и верхушечного периодонта зубов; медицинские показания к проведению дополнительных лабораторных и инструментальных исследований, правила интерпретации их результатов;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диагностировать у пациентов наиболее распространенную патологию пульпы и верхушечного периодонта;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основных (клинических) и дополнительных (лабораторных, инструментальных) методов обследования;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оценки и анализа результатов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проводить дифференциальную диагностику заболеваний пульпы и верхушечного периодонта с целью установления диагноза;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ОПК6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назначать, осуществлять контроль эффективности и безопасности немедикаментозного и медикаментозного лечения эндодонтической патологии при решении профессиональных задач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ОПК6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назначать лечение при острых и хронических заболеваниях пульпы и верхушечного периодонта</w:t>
                  </w:r>
                </w:p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b/>
                    </w:rPr>
                    <w:t xml:space="preserve">знать: </w:t>
                  </w:r>
                  <w:r w:rsidRPr="00D20D39">
                    <w:rPr>
                      <w:lang w:eastAsia="en-US"/>
                    </w:rPr>
                    <w:t xml:space="preserve">-особенности клинического течения </w:t>
                  </w:r>
                  <w:proofErr w:type="spellStart"/>
                  <w:r w:rsidRPr="00D20D39">
                    <w:rPr>
                      <w:lang w:eastAsia="en-US"/>
                    </w:rPr>
                    <w:t>одонтогенных</w:t>
                  </w:r>
                  <w:proofErr w:type="spellEnd"/>
                  <w:r w:rsidRPr="00D20D39">
                    <w:rPr>
                      <w:lang w:eastAsia="en-US"/>
                    </w:rPr>
                    <w:t xml:space="preserve"> воспалительных заболеваний челюстно-лицевой области и методы их лечения;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-этиологию, патогенез, диагностику, лечение и профилактику наиболее часто встречающихся заболеваний пульпы и верхушечного периодонта, методы проведения неотложных мероприятий и показания для госпитализации больных;  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 -этиологию, патогенез, диагностику, лечение и профилактику наиболее часто встречающихся заболеваний пульпы и верхушечного периодонта;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- клинические проявления основных синдромов, требующих </w:t>
                  </w:r>
                  <w:proofErr w:type="gramStart"/>
                  <w:r w:rsidRPr="00D20D39">
                    <w:rPr>
                      <w:lang w:eastAsia="en-US"/>
                    </w:rPr>
                    <w:t>терапевтического  лечения</w:t>
                  </w:r>
                  <w:proofErr w:type="gramEnd"/>
                  <w:r w:rsidRPr="00D20D39">
                    <w:rPr>
                      <w:lang w:eastAsia="en-US"/>
                    </w:rPr>
                    <w:t xml:space="preserve">; </w:t>
                  </w:r>
                </w:p>
                <w:p w:rsidR="007D23BA" w:rsidRPr="00D20D39" w:rsidRDefault="007D23BA" w:rsidP="00E54C8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-особенности оказания медицинской помощи при неотложных состояниях.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b/>
                    </w:rPr>
                    <w:t xml:space="preserve">уметь: </w:t>
                  </w:r>
                  <w:r w:rsidRPr="00D20D39">
                    <w:rPr>
                      <w:lang w:eastAsia="en-US"/>
                    </w:rPr>
                    <w:t xml:space="preserve">разработать план лечения с учётом течения болезни, подобрать и назначить лекарственную терапию, использовать </w:t>
                  </w:r>
                  <w:proofErr w:type="gramStart"/>
                  <w:r w:rsidRPr="00D20D39">
                    <w:rPr>
                      <w:lang w:eastAsia="en-US"/>
                    </w:rPr>
                    <w:t xml:space="preserve">методы  </w:t>
                  </w:r>
                  <w:proofErr w:type="spellStart"/>
                  <w:r w:rsidRPr="00D20D39">
                    <w:rPr>
                      <w:lang w:eastAsia="en-US"/>
                    </w:rPr>
                    <w:t>медикаметозного</w:t>
                  </w:r>
                  <w:proofErr w:type="spellEnd"/>
                  <w:proofErr w:type="gramEnd"/>
                  <w:r w:rsidRPr="00D20D39">
                    <w:rPr>
                      <w:lang w:eastAsia="en-US"/>
                    </w:rPr>
                    <w:t xml:space="preserve"> и немедикаментозного лечения пульпита и верхушечного периодонтита;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 -применять методы асептики и антисептики, медицинский инструментарий, медикаментозные средства в лабораторно-диагностических и лечебных целях;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>- сформулировать показания к избранному методу лечения с учетом этиотропных и патогенетических средств;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- определить состояние, требующее неотложной стоматологической и медицинской помощи, выходящей за рамки компетенции стоматолога общей практики; </w:t>
                  </w:r>
                </w:p>
                <w:p w:rsidR="007D23BA" w:rsidRPr="00D20D39" w:rsidRDefault="007D23BA" w:rsidP="00E54C8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диабетической коме или других экстренных ситуациях, которые могут иметь место в стоматологической практике.</w:t>
                  </w:r>
                </w:p>
                <w:p w:rsidR="007D23BA" w:rsidRPr="00D20D39" w:rsidRDefault="007D23BA" w:rsidP="00E54C8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методами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патологии.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ПК 1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      </w:r>
                  <w:r w:rsidRPr="00D20D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пульпит и верхушечный периодонтит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ПК1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осуществлять сбор жалоб и анамнеза пациента с заболеваниями пульпы и верхушечного периодонта, проводить анализ полученной информации;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пульпы и верхушечного периодонта;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пульпита и верхушечного периодонтита,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методику сбора анамнеза жизни и заболеваний, жалоб у пациентов с заболеваниями пульпы и верхушечного периодонта; методы лабораторных и инструментальных исследований для оценки состояния пульпы и верхушечного периодонта,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периодонтитом; обосновывать необходимость и объем дополнительных обследований пациента (включая рентгенологические методы);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пульпитом и верхушечным периодонтитом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диагностики основных патологических состояний, симптомов и синдромов стоматологических заболеваний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пульпы и верхушечного периодонтита; выявления у пациентов со стоматологическими заболеваниями факторов риска пульпита и верхушечного периодонтита,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пульпита и верхушечного периодонтита;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ПК1 Способен проводить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осмотр с оценкой его результатов у стоматологического пациента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алгоритм обследования пациента с заболеваниями осложненным кариесом зубов, особенности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стоматологического пациента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интерпретацию и оценку 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исследований; методику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пульпита и верхушечного периодонтита;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методы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 пациентов со стоматологическими заболеваниями; проводить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 стоматологического пациента с пульпитом и верхушечным периодонтитом; интерпретировать результаты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оценивать полученные результаты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исследования для постановки диагноза; диагностировать заболевания пульпы и верхушечного периодонта;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и клинического обследования стоматологического пациента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методами оценки 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исследований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интерпретации данных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рекомендации по вопросам оказания стоматологической помощи; алгоритм обследования пациента;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основные, специальные и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методы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стоматологического исследования;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методы лабораторных и инструментальных исследований для оценки состояния пульпы и верхушечного периодонта; медицинские показания к проведению дополнительных исследований, правила интерпретации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лабораторных, инструментальных, патологоанатомических и иных исследований;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 зубов в соответствии с действующими клиническими рекомендациями, порядками и стандартами оказания медицинской помощи стоматологическим пациентам;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собрать жалобы и анамнез, провести основные и специальные методы стоматологического обследования;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основных, специальных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дополнительных методов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стоматологического обследования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пациентов с пульпитом и верхушечным периодонтитом зубов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ПК2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осуществлять лечебные мероприятия при патологии органов зубочелюстной системы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ПК2 Способен оказывать медицинскую помощь в экстренной и неотложной формах при острых стоматологических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заболеваниях, состояниях, обострении хронических заболеваний, представляющих угрозу жизни пациента или без явных признаков угрозы пациента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ИД5 ПК2 </w:t>
                  </w:r>
                  <w:r w:rsidRPr="00D20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рекомендации по вопросам оказания стоматологической помощи; современные методы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лечения патологии твердых тканей зубов; причины осложнений в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практике при лечении осложненного кариеса зубов и способы их предупреждения; назначение и использование стоматологических пломбировочных материалов при </w:t>
                  </w:r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лечении  пульпита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верхушечного периодонтита;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клинические рекомендации по лечению осложненных заболеваний твердых тканей зубов; протоколы лечения пульпита и верхушечного периодонтита; назначение лекарственных препаратов для лечения пульпита и верхушечного периодонтита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планировать лечение пульпита и верхушечного периодонтита; провести </w:t>
                  </w:r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лечение  осложненного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кариеса с помощью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неивазивных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инвазивных методов, позволяющих сохранить жизнеспособность пульпы, и восстановить форму, функцию зуба у пациентов;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лечение верхушечного </w:t>
                  </w:r>
                  <w:proofErr w:type="spellStart"/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периодонтального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поражения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зубов у пациентов с помощью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неивазивных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инвазивных методов; выявить, устранить и предпринять меры профилактики осложнений при лечении пульпита и верхушечного периодонтита;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проведения консервативной терапии, биологического метода лечения пульпита; методами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лечения пациентов с осложненным  кариесом зубов; методами лечения пациентов с заболеваниями пульпы и верхушечного периодонта; методами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заверхушечной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терапии апикального периодонтита; методами консервативно-хирургического лечения хронического периодонтита; физиотерапевтическими  методами лечения осложненного кариеса , методами  подбора и назначения лекарственных препаратов для лечения  пульпита и верхушечного периодонтита 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ИД6 ПК2</w:t>
                  </w:r>
                  <w:r w:rsidRPr="00D20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пульпы и верхушечного периодонта; 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стоматологические материалы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применяемые для лечения осложненной патологии твердых тканей зубов, механизм их действия, медицинские показания и противопоказания к назначению;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осуществлять подбор стоматологических материалов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лечения патологии пульпы и верхушечного периодонта;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навыками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применения медицинских изделий,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том числе стоматологических материалов,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предусмотренных порядками оказания медицинской помощи пациентам с заболеваниями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пульпы и верхушечного периодонта.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ПК6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к организационно-управленческой деятельности в стоматологии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ПК6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оформлять медицинскую документацию при приеме больных с эндодонтической патологией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правила оформления истории болезни стоматологического больного;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алгоритмом оформления истории болезни стоматологического пациента.</w:t>
                  </w:r>
                </w:p>
              </w:tc>
            </w:tr>
          </w:tbl>
          <w:p w:rsidR="007D23BA" w:rsidRPr="00DC3BB7" w:rsidRDefault="007D23BA" w:rsidP="00E54C85">
            <w:pPr>
              <w:rPr>
                <w:rFonts w:ascii="Times New Roman" w:hAnsi="Times New Roman" w:cs="Times New Roman"/>
              </w:rPr>
            </w:pPr>
          </w:p>
        </w:tc>
      </w:tr>
    </w:tbl>
    <w:p w:rsidR="007D23BA" w:rsidRDefault="007D23BA" w:rsidP="007D23B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</w:p>
    <w:p w:rsidR="007D23BA" w:rsidRDefault="007D23BA" w:rsidP="007D23B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7D23BA" w:rsidRDefault="007D23BA" w:rsidP="007D23BA">
      <w:pPr>
        <w:pStyle w:val="4"/>
        <w:shd w:val="clear" w:color="auto" w:fill="auto"/>
        <w:tabs>
          <w:tab w:val="left" w:pos="0"/>
          <w:tab w:val="left" w:pos="3119"/>
        </w:tabs>
        <w:spacing w:line="360" w:lineRule="auto"/>
        <w:ind w:left="-284" w:right="100" w:firstLine="568"/>
        <w:rPr>
          <w:sz w:val="24"/>
          <w:szCs w:val="24"/>
        </w:rPr>
      </w:pPr>
      <w:r>
        <w:rPr>
          <w:b w:val="0"/>
          <w:sz w:val="24"/>
          <w:szCs w:val="24"/>
        </w:rPr>
        <w:t>Учебная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Эндодонтия</w:t>
      </w:r>
      <w:proofErr w:type="spellEnd"/>
      <w:r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относится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блоку</w:t>
      </w:r>
      <w:r>
        <w:rPr>
          <w:b w:val="0"/>
          <w:sz w:val="24"/>
          <w:szCs w:val="24"/>
        </w:rPr>
        <w:t xml:space="preserve"> </w:t>
      </w:r>
      <w:r w:rsidR="00BB6162">
        <w:rPr>
          <w:rFonts w:ascii="Times New Roman"/>
          <w:sz w:val="24"/>
          <w:szCs w:val="24"/>
        </w:rPr>
        <w:t>Б</w:t>
      </w:r>
      <w:proofErr w:type="gramStart"/>
      <w:r w:rsidR="00BB6162">
        <w:rPr>
          <w:rFonts w:ascii="Times New Roman"/>
          <w:sz w:val="24"/>
          <w:szCs w:val="24"/>
        </w:rPr>
        <w:t>1.Б.</w:t>
      </w:r>
      <w:proofErr w:type="gramEnd"/>
      <w:r w:rsidR="00BB6162">
        <w:rPr>
          <w:rFonts w:ascii="Times New Roman"/>
          <w:sz w:val="24"/>
          <w:szCs w:val="24"/>
        </w:rPr>
        <w:t>42</w:t>
      </w:r>
      <w:r w:rsidR="00BB6162">
        <w:rPr>
          <w:rFonts w:ascii="Times New Roman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базовой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обязательных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</w:t>
      </w:r>
      <w:r>
        <w:rPr>
          <w:b w:val="0"/>
          <w:sz w:val="24"/>
          <w:szCs w:val="24"/>
        </w:rPr>
        <w:t>.</w:t>
      </w:r>
    </w:p>
    <w:p w:rsidR="007D23BA" w:rsidRDefault="007D23BA" w:rsidP="007D23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дисциплины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опирается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ранее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приобретенные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студентами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знания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>: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Философия, биоэтика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</w:pPr>
      <w:r>
        <w:rPr>
          <w:rStyle w:val="ab"/>
          <w:sz w:val="24"/>
          <w:szCs w:val="24"/>
        </w:rPr>
        <w:t>Знания:</w:t>
      </w:r>
      <w:r>
        <w:rPr>
          <w:sz w:val="24"/>
          <w:szCs w:val="24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изложение самостоятельной точки зрения, анализа и логического мышления, публичная </w:t>
      </w:r>
      <w:r>
        <w:rPr>
          <w:sz w:val="24"/>
          <w:szCs w:val="24"/>
        </w:rPr>
        <w:lastRenderedPageBreak/>
        <w:t>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Психология, педагогика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 xml:space="preserve">Знания: </w:t>
      </w:r>
      <w:r>
        <w:rPr>
          <w:sz w:val="24"/>
          <w:szCs w:val="24"/>
        </w:rPr>
        <w:t>основные направления психологии, общие и индивидуальные особенности психики подростков и взрослых, психологию личности и малых групп.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3980" w:firstLine="0"/>
        <w:rPr>
          <w:rStyle w:val="ab"/>
          <w:i w:val="0"/>
          <w:iCs w:val="0"/>
          <w:sz w:val="24"/>
          <w:szCs w:val="24"/>
        </w:rPr>
      </w:pPr>
      <w:r>
        <w:rPr>
          <w:rStyle w:val="ab"/>
          <w:sz w:val="24"/>
          <w:szCs w:val="24"/>
        </w:rPr>
        <w:t xml:space="preserve">Правоведение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права пациента и врача.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История медицины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История Отечества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Латинский язык</w:t>
      </w:r>
    </w:p>
    <w:p w:rsidR="007D23BA" w:rsidRDefault="007D23BA" w:rsidP="007D23BA">
      <w:pPr>
        <w:pStyle w:val="3"/>
        <w:shd w:val="clear" w:color="auto" w:fill="auto"/>
        <w:tabs>
          <w:tab w:val="left" w:pos="9214"/>
        </w:tabs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основную медицинскую и фармацевтическую терминологию на латинском языке.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Умения: использовать не менее 900 терминологических единиц и </w:t>
      </w:r>
      <w:proofErr w:type="spellStart"/>
      <w:r>
        <w:rPr>
          <w:sz w:val="24"/>
          <w:szCs w:val="24"/>
        </w:rPr>
        <w:t>терминоэлементов</w:t>
      </w:r>
      <w:proofErr w:type="spellEnd"/>
      <w:r>
        <w:rPr>
          <w:sz w:val="24"/>
          <w:szCs w:val="24"/>
        </w:rPr>
        <w:t>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чтение и письмо на латинском языке клинических и фармацевтических терминов и рецептов.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Физика, математика</w:t>
      </w:r>
    </w:p>
    <w:p w:rsidR="007D23BA" w:rsidRDefault="007D23BA" w:rsidP="007D23BA">
      <w:pPr>
        <w:pStyle w:val="3"/>
        <w:shd w:val="clear" w:color="auto" w:fill="auto"/>
        <w:tabs>
          <w:tab w:val="left" w:pos="8931"/>
          <w:tab w:val="left" w:pos="9354"/>
        </w:tabs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 и увеличительной техникой.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Медицинская информатика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Знания:</w:t>
      </w:r>
      <w:r>
        <w:rPr>
          <w:sz w:val="24"/>
          <w:szCs w:val="24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>
        <w:rPr>
          <w:rStyle w:val="11"/>
          <w:sz w:val="24"/>
          <w:szCs w:val="24"/>
        </w:rPr>
        <w:t>ици</w:t>
      </w:r>
      <w:r>
        <w:rPr>
          <w:sz w:val="24"/>
          <w:szCs w:val="24"/>
        </w:rPr>
        <w:t>не и здравоохранении.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7D23BA" w:rsidRDefault="007D23BA" w:rsidP="007D23BA">
      <w:pPr>
        <w:pStyle w:val="41"/>
        <w:numPr>
          <w:ilvl w:val="0"/>
          <w:numId w:val="1"/>
        </w:numPr>
        <w:shd w:val="clear" w:color="auto" w:fill="auto"/>
        <w:spacing w:line="360" w:lineRule="auto"/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>
        <w:rPr>
          <w:sz w:val="24"/>
          <w:szCs w:val="24"/>
        </w:rPr>
        <w:t>мультифакторных</w:t>
      </w:r>
      <w:proofErr w:type="spellEnd"/>
      <w:r>
        <w:rPr>
          <w:sz w:val="24"/>
          <w:szCs w:val="24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оборудованием; работать с увеличительной техникой.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методами изучения наследственности.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360" w:lineRule="auto"/>
        <w:ind w:left="-28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Микробиология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b/>
          <w:sz w:val="24"/>
          <w:szCs w:val="24"/>
        </w:rPr>
      </w:pPr>
      <w:r>
        <w:rPr>
          <w:i/>
          <w:sz w:val="24"/>
          <w:szCs w:val="24"/>
        </w:rPr>
        <w:t>Знать:</w:t>
      </w:r>
      <w:r>
        <w:rPr>
          <w:sz w:val="24"/>
          <w:szCs w:val="24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7D23BA" w:rsidRDefault="007D23BA" w:rsidP="007D23BA">
      <w:pPr>
        <w:pStyle w:val="41"/>
        <w:numPr>
          <w:ilvl w:val="0"/>
          <w:numId w:val="1"/>
        </w:numPr>
        <w:shd w:val="clear" w:color="auto" w:fill="auto"/>
        <w:tabs>
          <w:tab w:val="left" w:pos="142"/>
        </w:tabs>
        <w:spacing w:line="360" w:lineRule="auto"/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rStyle w:val="ab"/>
          <w:i w:val="0"/>
          <w:iCs w:val="0"/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оборудованием, работать с увеличительной техникой.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60" w:lineRule="auto"/>
        <w:ind w:left="-284" w:right="3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Анатомия человека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lastRenderedPageBreak/>
        <w:t>Знания:</w:t>
      </w:r>
      <w:r>
        <w:rPr>
          <w:sz w:val="24"/>
          <w:szCs w:val="24"/>
        </w:rPr>
        <w:t xml:space="preserve"> анатомо-физиологические, возрастные и индивидуальные особенности строения и развития организма человека.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медико-функциональным понятийным аппаратом.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60" w:lineRule="auto"/>
        <w:ind w:left="-284" w:right="2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Гистология, цитология, эмбриология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>
        <w:rPr>
          <w:sz w:val="24"/>
          <w:szCs w:val="24"/>
        </w:rPr>
        <w:t>гистофункциональные</w:t>
      </w:r>
      <w:proofErr w:type="spellEnd"/>
      <w:r>
        <w:rPr>
          <w:sz w:val="24"/>
          <w:szCs w:val="24"/>
        </w:rPr>
        <w:t xml:space="preserve"> особенности тканевых элементов; методы их исследования.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медико-функциональным понятийным аппаратом.</w:t>
      </w:r>
    </w:p>
    <w:p w:rsidR="007D23BA" w:rsidRDefault="007D23BA" w:rsidP="007D23BA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Нормальная физиология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в сети Интернет; владеть навыками в использовании простейших медицинских инструментов.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15. Патологическая физиология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определять признаки патологических процессов и заболеваний в стоматологической практике.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тестами функциональной диагностики.</w:t>
      </w:r>
    </w:p>
    <w:p w:rsidR="007D23BA" w:rsidRDefault="007D23BA" w:rsidP="007D23B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Клиническая фармакология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классификацию и основные характеристики лекарственных средств;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фармакокинетику</w:t>
      </w:r>
      <w:proofErr w:type="spellEnd"/>
      <w:r>
        <w:rPr>
          <w:rFonts w:ascii="Times New Roman" w:hAnsi="Times New Roman"/>
          <w:sz w:val="24"/>
          <w:szCs w:val="24"/>
        </w:rPr>
        <w:t xml:space="preserve">; показания и противопоказания к применению лекарственных средств.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sz w:val="24"/>
          <w:szCs w:val="24"/>
        </w:rPr>
        <w:t xml:space="preserve">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</w:r>
    </w:p>
    <w:p w:rsidR="007D23BA" w:rsidRDefault="007D23BA" w:rsidP="007D23BA">
      <w:pPr>
        <w:pStyle w:val="3"/>
        <w:shd w:val="clear" w:color="auto" w:fill="auto"/>
        <w:spacing w:before="0" w:line="240" w:lineRule="auto"/>
        <w:ind w:right="-2" w:firstLine="0"/>
        <w:rPr>
          <w:sz w:val="24"/>
          <w:szCs w:val="24"/>
        </w:rPr>
      </w:pPr>
    </w:p>
    <w:p w:rsidR="007D23BA" w:rsidRDefault="007D23BA" w:rsidP="007D23BA">
      <w:pPr>
        <w:pStyle w:val="a3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D23BA" w:rsidRDefault="007D23BA" w:rsidP="007D23BA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_6 </w:t>
      </w:r>
      <w:r>
        <w:rPr>
          <w:rFonts w:ascii="Times New Roman" w:hAnsi="Times New Roman"/>
          <w:b/>
          <w:sz w:val="24"/>
          <w:szCs w:val="24"/>
        </w:rPr>
        <w:t>зачетных единиц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1424"/>
        <w:gridCol w:w="709"/>
        <w:gridCol w:w="933"/>
        <w:gridCol w:w="631"/>
        <w:gridCol w:w="647"/>
      </w:tblGrid>
      <w:tr w:rsidR="007D23BA" w:rsidTr="00E54C85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Семестры</w:t>
            </w:r>
          </w:p>
        </w:tc>
      </w:tr>
      <w:tr w:rsidR="007D23BA" w:rsidTr="00E54C8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A" w:rsidRDefault="007D23BA" w:rsidP="00E5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A" w:rsidRDefault="007D23BA" w:rsidP="00E5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Внеаудиторная работа (всего),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Групповые, индивидуальные консультации</w:t>
            </w:r>
            <w:r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Изучение учебной литературы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Подготовка к практическому занятию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Отработка практических навыков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36(экзамен)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  трудоемкость: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3BA" w:rsidRDefault="007D23BA" w:rsidP="00E54C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Часов:</w:t>
            </w:r>
          </w:p>
          <w:p w:rsidR="007D23BA" w:rsidRDefault="007D23BA" w:rsidP="00E54C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Зачетных единиц: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D23BA" w:rsidRDefault="007D23BA" w:rsidP="007D23B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D23BA" w:rsidRDefault="007D23BA" w:rsidP="007D23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Основные разделы дисциплины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Этиология, патогенез воспаления пульпы зуба. Классификации заболеваний пульпы.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диагностики воспаления пульпы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Клиника, диагностика, дифференциальная диагностика пульпита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Этиология, патогенез воспаления апикального периодонта.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диагностики апикального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Клиника, диагностика, дифференциальная диагностика апикального периодонтита.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пульпита и апикального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Неотложная помощь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Эндодонтическая подготовка к проведению хирургических методов лечения заболеваний пульпы и периодонта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зубов с проблемными корневыми каналами.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Стоматогенный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очаг инфекции, очагово-обусловленные заболевания.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Ошибки в диагностике пульпита и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Ошибки и осложнения при лечении пульпита и периодонтита.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Профилактика неотложных состояний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Реставрация 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зубов после эндодонтического лечения.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Способы профилактики и устранения ошибок и осложнений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</w:p>
    <w:p w:rsidR="007D23BA" w:rsidRPr="000637F9" w:rsidRDefault="007D23BA" w:rsidP="007D2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6.Форма пром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ежуточной аттестации – экзамен в 8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семестре</w:t>
      </w:r>
    </w:p>
    <w:p w:rsidR="007D23BA" w:rsidRDefault="007D23BA" w:rsidP="007D23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терапевтическая стоматология</w:t>
      </w:r>
    </w:p>
    <w:p w:rsidR="007D23BA" w:rsidRDefault="007D23BA" w:rsidP="007D23B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D2D3D" w:rsidRDefault="005D2D3D"/>
    <w:sectPr w:rsidR="005D2D3D" w:rsidSect="00AD53C4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C0" w:rsidRDefault="00BF1879">
      <w:pPr>
        <w:spacing w:after="0" w:line="240" w:lineRule="auto"/>
      </w:pPr>
      <w:r>
        <w:separator/>
      </w:r>
    </w:p>
  </w:endnote>
  <w:endnote w:type="continuationSeparator" w:id="0">
    <w:p w:rsidR="00C81FC0" w:rsidRDefault="00B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220118"/>
      <w:docPartObj>
        <w:docPartGallery w:val="Page Numbers (Bottom of Page)"/>
        <w:docPartUnique/>
      </w:docPartObj>
    </w:sdtPr>
    <w:sdtEndPr/>
    <w:sdtContent>
      <w:p w:rsidR="007A3105" w:rsidRDefault="00673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62">
          <w:rPr>
            <w:noProof/>
          </w:rPr>
          <w:t>1</w:t>
        </w:r>
        <w:r>
          <w:fldChar w:fldCharType="end"/>
        </w:r>
      </w:p>
    </w:sdtContent>
  </w:sdt>
  <w:p w:rsidR="007A3105" w:rsidRDefault="00BB61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4011"/>
      <w:docPartObj>
        <w:docPartGallery w:val="Page Numbers (Bottom of Page)"/>
        <w:docPartUnique/>
      </w:docPartObj>
    </w:sdtPr>
    <w:sdtEndPr/>
    <w:sdtContent>
      <w:p w:rsidR="007A3105" w:rsidRDefault="00673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1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A3105" w:rsidRDefault="00BB6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C0" w:rsidRDefault="00BF1879">
      <w:pPr>
        <w:spacing w:after="0" w:line="240" w:lineRule="auto"/>
      </w:pPr>
      <w:r>
        <w:separator/>
      </w:r>
    </w:p>
  </w:footnote>
  <w:footnote w:type="continuationSeparator" w:id="0">
    <w:p w:rsidR="00C81FC0" w:rsidRDefault="00BF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A4"/>
    <w:multiLevelType w:val="hybridMultilevel"/>
    <w:tmpl w:val="EF5881CC"/>
    <w:lvl w:ilvl="0" w:tplc="51C8DE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A"/>
    <w:rsid w:val="001F5082"/>
    <w:rsid w:val="002D55F7"/>
    <w:rsid w:val="005D2D3D"/>
    <w:rsid w:val="00673959"/>
    <w:rsid w:val="007D23BA"/>
    <w:rsid w:val="00BB6162"/>
    <w:rsid w:val="00BF1879"/>
    <w:rsid w:val="00C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17C7"/>
  <w15:chartTrackingRefBased/>
  <w15:docId w15:val="{B7CAA22A-27ED-4148-A66A-B615473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BA"/>
    <w:pPr>
      <w:ind w:left="720"/>
      <w:contextualSpacing/>
    </w:pPr>
    <w:rPr>
      <w:rFonts w:ascii="Calibri" w:eastAsiaTheme="minorHAnsi" w:hAnsi="Calibri"/>
    </w:rPr>
  </w:style>
  <w:style w:type="character" w:customStyle="1" w:styleId="a4">
    <w:name w:val="Нижний колонтитул Знак"/>
    <w:basedOn w:val="a0"/>
    <w:link w:val="a5"/>
    <w:uiPriority w:val="99"/>
    <w:rsid w:val="007D23BA"/>
    <w:rPr>
      <w:rFonts w:ascii="Calibri" w:eastAsia="Times New Roman"/>
    </w:rPr>
  </w:style>
  <w:style w:type="paragraph" w:styleId="a5">
    <w:name w:val="footer"/>
    <w:basedOn w:val="a"/>
    <w:link w:val="a4"/>
    <w:uiPriority w:val="99"/>
    <w:unhideWhenUsed/>
    <w:rsid w:val="007D23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7D23BA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rsid w:val="007D23BA"/>
    <w:rPr>
      <w:rFonts w:eastAsia="Times New Roman" w:hAnsi="Times New Roman"/>
      <w:b/>
      <w:sz w:val="25"/>
    </w:rPr>
  </w:style>
  <w:style w:type="paragraph" w:styleId="a7">
    <w:name w:val="Body Text"/>
    <w:basedOn w:val="a"/>
    <w:link w:val="a6"/>
    <w:unhideWhenUsed/>
    <w:rsid w:val="007D23BA"/>
    <w:pPr>
      <w:spacing w:after="0" w:line="240" w:lineRule="auto"/>
      <w:jc w:val="center"/>
    </w:pPr>
    <w:rPr>
      <w:rFonts w:eastAsia="Times New Roman" w:hAnsi="Times New Roman"/>
      <w:b/>
      <w:sz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D23BA"/>
    <w:rPr>
      <w:rFonts w:eastAsiaTheme="minorEastAsia"/>
      <w:lang w:eastAsia="ru-RU"/>
    </w:rPr>
  </w:style>
  <w:style w:type="character" w:customStyle="1" w:styleId="a8">
    <w:name w:val="Основной текст_"/>
    <w:link w:val="4"/>
    <w:locked/>
    <w:rsid w:val="007D23BA"/>
    <w:rPr>
      <w:rFonts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7D23BA"/>
    <w:pPr>
      <w:widowControl w:val="0"/>
      <w:shd w:val="clear" w:color="auto" w:fill="FFFFFF"/>
      <w:spacing w:after="0" w:line="269" w:lineRule="exact"/>
      <w:ind w:hanging="1980"/>
      <w:jc w:val="both"/>
    </w:pPr>
    <w:rPr>
      <w:rFonts w:eastAsia="Times New Roman" w:hAnsi="Times New Roman"/>
      <w:b/>
      <w:bCs/>
      <w:lang w:eastAsia="en-US"/>
    </w:rPr>
  </w:style>
  <w:style w:type="paragraph" w:customStyle="1" w:styleId="3">
    <w:name w:val="Основной текст3"/>
    <w:basedOn w:val="a"/>
    <w:rsid w:val="007D23BA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7D23BA"/>
    <w:rPr>
      <w:rFonts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D23BA"/>
    <w:pPr>
      <w:widowControl w:val="0"/>
      <w:shd w:val="clear" w:color="auto" w:fill="FFFFFF"/>
      <w:spacing w:after="0" w:line="322" w:lineRule="exact"/>
    </w:pPr>
    <w:rPr>
      <w:rFonts w:eastAsia="Times New Roman" w:hAnsi="Times New Roman"/>
      <w:i/>
      <w:iCs/>
      <w:sz w:val="27"/>
      <w:szCs w:val="27"/>
      <w:lang w:eastAsia="en-US"/>
    </w:rPr>
  </w:style>
  <w:style w:type="paragraph" w:customStyle="1" w:styleId="a9">
    <w:name w:val="список с точками"/>
    <w:basedOn w:val="a"/>
    <w:rsid w:val="007D23B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Для таблиц"/>
    <w:basedOn w:val="a"/>
    <w:uiPriority w:val="99"/>
    <w:rsid w:val="007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23B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11">
    <w:name w:val="Основной текст1"/>
    <w:rsid w:val="007D2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Курсив"/>
    <w:rsid w:val="007D23BA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59"/>
    <w:qFormat/>
    <w:rsid w:val="007D23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6</cp:revision>
  <dcterms:created xsi:type="dcterms:W3CDTF">2023-08-07T09:26:00Z</dcterms:created>
  <dcterms:modified xsi:type="dcterms:W3CDTF">2023-08-08T22:05:00Z</dcterms:modified>
</cp:coreProperties>
</file>