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C2" w:rsidRDefault="006F0DC2" w:rsidP="006F0DC2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Приложение 4</w:t>
      </w:r>
    </w:p>
    <w:p w:rsidR="006F0DC2" w:rsidRDefault="006F0DC2" w:rsidP="006F0DC2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_______________»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(наименование  дисциплины)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Б1-032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32.05.01 «МЕДИКО - ПРФИЛАКТИЧЕСКОЕ ДЕЛО»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(код  и наименование)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образования_________________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СПЕЦИАЛИСТ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   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ВРАЧ ПО ОБЩЕЙ ГИГИЕНЕ И  ЭПИДЕМИОЛОГИИ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МЕДИКО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-ПРОФИЛАКТИЧЕСКИЙ__________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Детских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болезней лечебного факультета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_-_________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очное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курс__________________4,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семестр____________8,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5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з.е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. 180 часов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6F0DC2" w:rsidRDefault="006F0DC2" w:rsidP="006F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зачет – 9 семестр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217F2C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 xml:space="preserve">2021 </w:t>
      </w:r>
      <w:bookmarkStart w:id="0" w:name="_GoBack"/>
      <w:bookmarkEnd w:id="0"/>
      <w:r w:rsidR="006F0DC2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г.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Цель и задачи освоения дисциплины (модуля)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растущего детского организма.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дисциплины являются: научить студентов навыкам общения со здоровыми и больными детьми различных возрастов и их родителями, методам объективного обследования ребенка с интерпретацией полученных данных, в возрастном аспекте, научить диагностировать наиболее распространенные заболевания раннего и старшего возраста, а также состояния угрожающие жизни, оказывать неотложную помощь, составлять планы лечения и профилактики.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6F0DC2" w:rsidRDefault="006F0DC2" w:rsidP="006F0DC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p w:rsidR="00FE4AD0" w:rsidRDefault="00FE4AD0" w:rsidP="006F0DC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E4AD0" w:rsidTr="00FE4A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ОПК-4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ОПК4-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 применять дезинфекционные средства, лекарственные препараты, в том числе иммунобиологические и иные вещества и их комбинации при решении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интерпретировать данные, полученные при консультациях пациента врачами- специалистами.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назначать лекарственные препараты и использовать медицинские изделия, предусмотренные стандартами оказания первой врачебной помощи;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и где применять дезинфекционные средства, лекарственные препараты, в том числе иммунобиологические и иные вещества и их комбинации при решении профессиональных задач; 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навыками применения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специализированного оборудования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исследованиях с целью установления диагноза  в соответствии с порядком оказания медицинской помощи.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использования должным образом лекарственных препаратов и медицинских изделий при оказании медицинской помощи в экстренной или неотложной формах.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ОПК-5: </w:t>
            </w:r>
            <w:r>
              <w:rPr>
                <w:rFonts w:ascii="Times New Roman" w:eastAsia="Times New Roman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ОПК5.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Владеть алгоритмом клинико-лабораторной и функциональной диагностики при решении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методы лабораторных и инструментальных исследований для оценки состояния здоровья, медицинские показания к проведению, исследований, правила интерпретации их результатов; показания и особенности применения лекарственных препаратов и медицинских изделий, используемых при оказании медицинской помощи в экстренной или неотложной формах;</w:t>
            </w:r>
          </w:p>
          <w:p w:rsidR="00FE4AD0" w:rsidRDefault="00FE4A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необходимость и объем лабораторного исследования, инструментального обследования пациента; обосновывать необходимость направления пациента на консультации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врачам-специалистам; анализировать полученные результаты обследования пациента, при необходимости обосновывать и планировать объем дополнительных исследований; интерпретировать данные, полученные при лабораторном обследовании пациента; интерпретировать данные, полученные при инструментальном обследовании пациента</w:t>
            </w:r>
          </w:p>
          <w:p w:rsidR="00FE4AD0" w:rsidRDefault="00FE4AD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владеть алгоритмом клинико-лабораторной и функциональной диагностики при решении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ОПК-6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</w:rP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 госпитальном этапе, в условиях чрезвычайных ситуаций, эпидемий и в очагах массового поражения.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ОПК6-</w:t>
            </w:r>
            <w:r>
              <w:rPr>
                <w:rFonts w:ascii="Times New Roman" w:hAnsi="Times New Roman"/>
                <w:b/>
                <w:i/>
              </w:rPr>
              <w:t xml:space="preserve"> Уметь оказывать медицинскую помощь, в экстренной форме пациентам при состоянии представляющих угрозу жизни пациентов, в том числе клинической смерти( остановка жизненно важных функций организма человека (кровообращения и (или) дыхания 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знать: методы проведения неотложных мероприятий; знать методы оказания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первичной медико-санитарной помощи, включая мероприятия по профилактике, диагностике, лечению заболеваний и состояний.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 определять программу лечения пациента с учетом диагноза, возраста,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лечения);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 алгоритм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-1: Способность и готовность к разработке, организации и управлению комплекса медико-профилактических мероприятий, направленных на сохранение здоровья и снижения заболеваемости населения.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Владеть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4AD0" w:rsidTr="00FE4AD0">
        <w:trPr>
          <w:trHeight w:val="237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осложнения и исходы заболеваний внутренних органов; методику сбора жалоб и анамнеза у пациентов (их законных представителей), методику физического исследования пациентов (осмотр, пальпация, перкуссия, аускультация) для выявления признаков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форме;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разрабатывать и организовать комплекс медико-профилактических мероприятий, направленных на сохранение здоровья и снижения заболеваемости населения.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владеет 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ПК -4: Способность и готовность к проведению санитарно-противоэпидемических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(профилактических) мероприятий направленных на предупреждение возникновения и распространения инфекционных и массовых и неинфекционных заболеваний (отравлений),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числе чрезвычайных ситуаций санитарно-эпидемического характера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ИД-1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ПК4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Уметь разрабатывать планы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профилактических противоэпидемических мероприятий</w:t>
            </w:r>
          </w:p>
        </w:tc>
      </w:tr>
      <w:tr w:rsidR="00FE4AD0" w:rsidTr="00FE4AD0">
        <w:trPr>
          <w:trHeight w:val="127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0" w:rsidRDefault="00FE4AD0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методы проведения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и неинфекционных заболеваний (отравлений),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числе чрезвычайных ситуаций санитарно-эпидемического характера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разрабатывать планы профилактических противоэпидемических мероприятий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способностью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готовностью к проведению санитарно-противоэпидемических (профилактических) мероприятий 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FE4AD0" w:rsidRDefault="00FE4AD0" w:rsidP="00FE4AD0">
      <w:pPr>
        <w:spacing w:line="276" w:lineRule="auto"/>
        <w:rPr>
          <w:rFonts w:ascii="Times New Roman" w:eastAsia="Microsoft Sans Serif" w:hAnsi="Times New Roman" w:cs="Times New Roman"/>
          <w:b/>
          <w:bCs/>
          <w:iCs/>
          <w:color w:val="000000"/>
          <w:lang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в структуре образовательной программы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Философия, биоэтика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медицинской латинской терминологии.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Гистология: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Микробиология, вирусология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Биохимия: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средств в педиатрии, токсичность некоторых химических элементов для детского организма.</w:t>
      </w:r>
    </w:p>
    <w:p w:rsidR="006F0DC2" w:rsidRDefault="006F0DC2" w:rsidP="006F0DC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Физика с высшей математикой, информатикой, медицинской тех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Знать принципы работы и устройства аппаратуры, используемой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медицине, основы физических и математических законов, получаю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 отображение в медицине.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Патологическая физиология: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Знать вопросы патогенеза 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Патологическая анатомия: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морфологические изменения в клетках и тканях при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леваниях детского и подросткового возраста.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Общественное здоровье и здравоохранение: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показатели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ской заболеваемости, летальности, смертности, статистические 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затели в здравоохранении, государственную систему организации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здоровья матери и ребенка, организацию санаторно-курортной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 детям, программу ВОЗ по улучшению здоровья матери и ребенка.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Организацию медицинской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помощи подросткам.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нормативные документы, регламентирующие работу врача.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методику обследования больного, семиотику,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клинику основных заболеваний, начинающихся в детском возрасте.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(физиологию и патологию раннего неонатального периода).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хирургия: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(пассивная и активная иммунизация)</w:t>
      </w:r>
    </w:p>
    <w:p w:rsidR="006F0DC2" w:rsidRDefault="006F0DC2" w:rsidP="006F0D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C2" w:rsidRDefault="006F0DC2" w:rsidP="006F0D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Трудоемкость учебной дисциплины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="00FE4AD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__5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="00FE4AD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__180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___ академических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часа.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 _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28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Лабораторные занятия - __________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- ___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94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  Основные разделы дисциплины (модуля).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Пропедевтика детских болезней (АФО органов и систем)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Питание детей раннего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Неонатология. Патология детей раннего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Патология детей старшего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Неотложные состояния. Поликлиническая педиатрия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Инфекционные и паразитарные болезни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6F0DC2" w:rsidRDefault="00FE4AD0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Зачет в 9</w:t>
      </w:r>
      <w:r w:rsidR="006F0DC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семестр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е</w:t>
      </w:r>
      <w:r w:rsidR="006F0DC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детских болезней лечебного факультета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(наименование  кафедры)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/>
    <w:p w:rsidR="00AF2024" w:rsidRDefault="00AF2024"/>
    <w:sectPr w:rsidR="00AF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80"/>
    <w:rsid w:val="00217F2C"/>
    <w:rsid w:val="005E4EB8"/>
    <w:rsid w:val="006F0DC2"/>
    <w:rsid w:val="00AF2024"/>
    <w:rsid w:val="00F46B1B"/>
    <w:rsid w:val="00F54C8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1C9A"/>
  <w15:docId w15:val="{AAA953EE-06F2-4918-8CEC-EA00384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C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F0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F0D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7</cp:revision>
  <dcterms:created xsi:type="dcterms:W3CDTF">2023-08-29T21:17:00Z</dcterms:created>
  <dcterms:modified xsi:type="dcterms:W3CDTF">2023-09-19T16:03:00Z</dcterms:modified>
</cp:coreProperties>
</file>