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05" w:rsidRPr="000B5005" w:rsidRDefault="000B5005" w:rsidP="000B50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0B5005" w:rsidRPr="000B5005" w:rsidRDefault="000B5005" w:rsidP="000B50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0B5005" w:rsidRPr="000B5005" w:rsidRDefault="000B5005" w:rsidP="000B50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0B5005" w:rsidRPr="000B5005" w:rsidRDefault="000B5005" w:rsidP="000B50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0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0B5005" w:rsidRPr="000B5005" w:rsidRDefault="000B5005" w:rsidP="000B500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5005" w:rsidRPr="000B5005" w:rsidRDefault="000B5005" w:rsidP="000B5005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  <w:r w:rsidRPr="000B5005"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  <w:t>(ФГБОУ ВО ДГМУ Минздрава России)</w:t>
      </w:r>
    </w:p>
    <w:p w:rsidR="000B5005" w:rsidRPr="000B5005" w:rsidRDefault="000B5005" w:rsidP="000B5005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0B5005" w:rsidRPr="000B5005" w:rsidRDefault="000B5005" w:rsidP="000B5005">
      <w:pPr>
        <w:pStyle w:val="a3"/>
        <w:autoSpaceDE w:val="0"/>
        <w:autoSpaceDN w:val="0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0B5005" w:rsidRPr="000B5005" w:rsidRDefault="000B5005" w:rsidP="000B5005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0B5005">
        <w:rPr>
          <w:rFonts w:ascii="Times New Roman" w:hAnsi="Times New Roman" w:cs="Times New Roman"/>
          <w:b/>
        </w:rPr>
        <w:t>АННОТАЦИЯ К</w:t>
      </w:r>
    </w:p>
    <w:p w:rsidR="000B5005" w:rsidRPr="000B5005" w:rsidRDefault="000B5005" w:rsidP="000B5005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0B5005">
        <w:rPr>
          <w:rFonts w:ascii="Times New Roman" w:hAnsi="Times New Roman" w:cs="Times New Roman"/>
          <w:b/>
        </w:rPr>
        <w:t>РАБОЧЕЙ ПРОГРАММЕ ДИСЦИПЛИНЫ (МОДУЛЯ)</w:t>
      </w:r>
    </w:p>
    <w:p w:rsidR="000B5005" w:rsidRPr="000B5005" w:rsidRDefault="000B5005" w:rsidP="000B5005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  <w:r w:rsidRPr="000B5005">
        <w:rPr>
          <w:rFonts w:ascii="Times New Roman" w:hAnsi="Times New Roman" w:cs="Times New Roman"/>
        </w:rPr>
        <w:t>«Пропедевтика внутренних болезней»</w:t>
      </w:r>
    </w:p>
    <w:p w:rsidR="000B5005" w:rsidRPr="000B5005" w:rsidRDefault="000B5005" w:rsidP="000B5005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i/>
        </w:rPr>
      </w:pPr>
      <w:r w:rsidRPr="000B5005">
        <w:rPr>
          <w:rFonts w:ascii="Times New Roman" w:hAnsi="Times New Roman" w:cs="Times New Roman"/>
        </w:rPr>
        <w:t xml:space="preserve">Индекс дисциплины по учебному плану    </w:t>
      </w:r>
      <w:r w:rsidR="00D057DD">
        <w:rPr>
          <w:rFonts w:ascii="Times New Roman" w:hAnsi="Times New Roman" w:cs="Times New Roman"/>
          <w:bCs/>
        </w:rPr>
        <w:t>Б</w:t>
      </w:r>
      <w:proofErr w:type="gramStart"/>
      <w:r w:rsidR="00D057DD">
        <w:rPr>
          <w:rFonts w:ascii="Times New Roman" w:hAnsi="Times New Roman" w:cs="Times New Roman"/>
          <w:bCs/>
        </w:rPr>
        <w:t>1.О.</w:t>
      </w:r>
      <w:proofErr w:type="gramEnd"/>
      <w:r w:rsidR="00D057DD">
        <w:rPr>
          <w:rFonts w:ascii="Times New Roman" w:hAnsi="Times New Roman" w:cs="Times New Roman"/>
          <w:bCs/>
        </w:rPr>
        <w:t>29</w:t>
      </w:r>
      <w:r w:rsidRPr="000B5005">
        <w:rPr>
          <w:rFonts w:ascii="Times New Roman" w:hAnsi="Times New Roman" w:cs="Times New Roman"/>
          <w:bCs/>
        </w:rPr>
        <w:t xml:space="preserve">   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i/>
        </w:rPr>
      </w:pP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bCs/>
        </w:rPr>
      </w:pPr>
      <w:r w:rsidRPr="000B5005">
        <w:rPr>
          <w:rFonts w:ascii="Times New Roman" w:hAnsi="Times New Roman" w:cs="Times New Roman"/>
          <w:bCs/>
        </w:rPr>
        <w:t>Направление</w:t>
      </w:r>
      <w:r w:rsidR="00D057DD">
        <w:rPr>
          <w:rFonts w:ascii="Times New Roman" w:hAnsi="Times New Roman" w:cs="Times New Roman"/>
          <w:bCs/>
        </w:rPr>
        <w:t xml:space="preserve"> подготовки (специальность)   31.05.01</w:t>
      </w:r>
      <w:bookmarkStart w:id="0" w:name="_GoBack"/>
      <w:bookmarkEnd w:id="0"/>
      <w:r w:rsidRPr="000B5005">
        <w:rPr>
          <w:rFonts w:ascii="Times New Roman" w:hAnsi="Times New Roman" w:cs="Times New Roman"/>
          <w:bCs/>
        </w:rPr>
        <w:t xml:space="preserve">   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i/>
          <w:noProof/>
        </w:rPr>
      </w:pPr>
      <w:r w:rsidRPr="000B5005">
        <w:rPr>
          <w:rFonts w:ascii="Times New Roman" w:hAnsi="Times New Roman" w:cs="Times New Roman"/>
        </w:rPr>
        <w:t>Наименование профиля (</w:t>
      </w:r>
      <w:proofErr w:type="gramStart"/>
      <w:r w:rsidRPr="000B5005">
        <w:rPr>
          <w:rFonts w:ascii="Times New Roman" w:hAnsi="Times New Roman" w:cs="Times New Roman"/>
        </w:rPr>
        <w:t xml:space="preserve">специализации) </w:t>
      </w:r>
      <w:r w:rsidRPr="000B5005">
        <w:rPr>
          <w:rFonts w:ascii="Times New Roman" w:hAnsi="Times New Roman" w:cs="Times New Roman"/>
          <w:noProof/>
        </w:rPr>
        <w:t xml:space="preserve"> Лечебное</w:t>
      </w:r>
      <w:proofErr w:type="gramEnd"/>
      <w:r w:rsidRPr="000B5005">
        <w:rPr>
          <w:rFonts w:ascii="Times New Roman" w:hAnsi="Times New Roman" w:cs="Times New Roman"/>
          <w:noProof/>
        </w:rPr>
        <w:t xml:space="preserve"> дело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proofErr w:type="gramStart"/>
      <w:r w:rsidRPr="000B5005">
        <w:rPr>
          <w:rFonts w:ascii="Times New Roman" w:hAnsi="Times New Roman" w:cs="Times New Roman"/>
        </w:rPr>
        <w:t>Уровень  высшего</w:t>
      </w:r>
      <w:proofErr w:type="gramEnd"/>
      <w:r w:rsidRPr="000B5005">
        <w:rPr>
          <w:rFonts w:ascii="Times New Roman" w:hAnsi="Times New Roman" w:cs="Times New Roman"/>
        </w:rPr>
        <w:t xml:space="preserve"> образования </w:t>
      </w:r>
      <w:proofErr w:type="spellStart"/>
      <w:r w:rsidRPr="000B5005">
        <w:rPr>
          <w:rFonts w:ascii="Times New Roman" w:hAnsi="Times New Roman" w:cs="Times New Roman"/>
        </w:rPr>
        <w:t>Специалитет</w:t>
      </w:r>
      <w:proofErr w:type="spellEnd"/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Квалификация выпускника _Врач - лечебник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Факультет             Лечебное дело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Кафедра       Пропедевтика внутренних болезней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 xml:space="preserve">Форма </w:t>
      </w:r>
      <w:proofErr w:type="gramStart"/>
      <w:r w:rsidRPr="000B5005">
        <w:rPr>
          <w:rFonts w:ascii="Times New Roman" w:hAnsi="Times New Roman" w:cs="Times New Roman"/>
        </w:rPr>
        <w:t>обучения  Очная</w:t>
      </w:r>
      <w:proofErr w:type="gramEnd"/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Курс   2-3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Семестр      4-5</w:t>
      </w: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>Всего трудоёмкость (в зачётных единицах/</w:t>
      </w:r>
      <w:proofErr w:type="gramStart"/>
      <w:r w:rsidRPr="000B5005">
        <w:rPr>
          <w:rFonts w:ascii="Times New Roman" w:hAnsi="Times New Roman" w:cs="Times New Roman"/>
        </w:rPr>
        <w:t>часах)  9</w:t>
      </w:r>
      <w:proofErr w:type="gramEnd"/>
      <w:r w:rsidRPr="000B5005">
        <w:rPr>
          <w:rFonts w:ascii="Times New Roman" w:hAnsi="Times New Roman" w:cs="Times New Roman"/>
        </w:rPr>
        <w:t>/324</w:t>
      </w:r>
    </w:p>
    <w:p w:rsidR="000B5005" w:rsidRDefault="000B5005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5005">
        <w:rPr>
          <w:rFonts w:ascii="Times New Roman" w:hAnsi="Times New Roman" w:cs="Times New Roman"/>
        </w:rPr>
        <w:t xml:space="preserve">Форма </w:t>
      </w:r>
      <w:proofErr w:type="gramStart"/>
      <w:r w:rsidRPr="000B5005">
        <w:rPr>
          <w:rFonts w:ascii="Times New Roman" w:hAnsi="Times New Roman" w:cs="Times New Roman"/>
        </w:rPr>
        <w:t xml:space="preserve">контроля:   </w:t>
      </w:r>
      <w:proofErr w:type="gramEnd"/>
      <w:r w:rsidRPr="000B5005">
        <w:rPr>
          <w:rFonts w:ascii="Times New Roman" w:hAnsi="Times New Roman" w:cs="Times New Roman"/>
          <w:b/>
          <w:sz w:val="28"/>
          <w:szCs w:val="28"/>
        </w:rPr>
        <w:t xml:space="preserve">Экзамен в </w:t>
      </w:r>
      <w:r w:rsidRPr="000B50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5005">
        <w:rPr>
          <w:rFonts w:ascii="Times New Roman" w:hAnsi="Times New Roman" w:cs="Times New Roman"/>
          <w:b/>
          <w:sz w:val="28"/>
          <w:szCs w:val="28"/>
        </w:rPr>
        <w:t xml:space="preserve"> семестре (36 часов)</w:t>
      </w: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Default="00EF4B1D" w:rsidP="007D08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EF4B1D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F4B1D" w:rsidRPr="000B5005" w:rsidRDefault="00EF4B1D" w:rsidP="000B5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i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(модуля)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rPr>
          <w:spacing w:val="-7"/>
        </w:rPr>
        <w:t xml:space="preserve">Целью освоения дисциплины </w:t>
      </w:r>
      <w:proofErr w:type="gramStart"/>
      <w:r w:rsidRPr="000B5005">
        <w:rPr>
          <w:spacing w:val="-9"/>
        </w:rPr>
        <w:t xml:space="preserve">является </w:t>
      </w:r>
      <w:r w:rsidRPr="000B5005">
        <w:rPr>
          <w:rStyle w:val="2"/>
        </w:rPr>
        <w:t>:</w:t>
      </w:r>
      <w:proofErr w:type="gramEnd"/>
      <w:r w:rsidRPr="000B5005">
        <w:rPr>
          <w:rStyle w:val="2"/>
        </w:rPr>
        <w:t xml:space="preserve"> </w:t>
      </w:r>
      <w:r w:rsidRPr="000B5005">
        <w:t xml:space="preserve">формирование важных профессиональных навыков обследования больного, основ клинического мышления, а также медицинской этики и деонтологии. </w:t>
      </w:r>
      <w:bookmarkStart w:id="1" w:name="bookmark4"/>
      <w:r w:rsidRPr="000B5005">
        <w:t xml:space="preserve">Особенность пропедевтики внутренних болезней в том, что это первая клиническая дисциплина, с которой сталкивается студент, вчерашний школьник. Изучение пропедевтики - качественно новый этап его познавательной деятельности, его первичный опыт вхождения в клиническую, практическую медицину, общения с больным, работы в больнице, оформления медицинской документации, первое столкновение со сложными морально-этическими вопросами врачевания и т.д. В целом пропедевтика составляет фундамент образования не только терапевта, но и врача любой другой медицинской специальности. Истинность данного постулата следует хотя бы из того факта, что именно на кафедре пропедевтики ведется обучение студентов важнейшим методикам, так называемым общеврачебным методам исследования больного - навыкам опроса, осмотра больного, пальпации, перкуссии и аускультации. </w:t>
      </w:r>
      <w:bookmarkEnd w:id="1"/>
    </w:p>
    <w:p w:rsidR="000B5005" w:rsidRPr="000B5005" w:rsidRDefault="000B5005" w:rsidP="000B5005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0B5005" w:rsidRPr="000B5005" w:rsidRDefault="000B5005" w:rsidP="000B5005">
      <w:pPr>
        <w:pStyle w:val="Default"/>
      </w:pPr>
      <w:r w:rsidRPr="000B5005">
        <w:rPr>
          <w:spacing w:val="-9"/>
        </w:rPr>
        <w:t xml:space="preserve">Задачами освоения дисциплины являются: </w:t>
      </w:r>
      <w:r w:rsidRPr="000B5005">
        <w:t xml:space="preserve">- Изучение методов непосредственного исследования больного (расспроса, осмотра, пальпации, перкуссии, аускультации, измерения артериального давления, исследования свойств артериального пульса и др.). 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t>- Изучение основных методов лабораторной и инструментальной диагностики заболеваний (внутренних органов и болезней терапевтического профиля).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t xml:space="preserve">- Изучение основных клинических симптомов и синдромов заболеваний внутренних органов и механизмов их возникновения. 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t xml:space="preserve"> -Изучение симптоматологии наиболее распространенных заболеваний внутренних органов, протекающих в типичной классической форме;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t xml:space="preserve"> - Формирование представлений об основных принципах диагностического процесса (основ клинического мышления);</w:t>
      </w:r>
    </w:p>
    <w:p w:rsidR="000B5005" w:rsidRPr="000B5005" w:rsidRDefault="000B5005" w:rsidP="000B5005">
      <w:pPr>
        <w:pStyle w:val="Default"/>
        <w:rPr>
          <w:bCs/>
          <w:shd w:val="clear" w:color="auto" w:fill="FFFFFF"/>
        </w:rPr>
      </w:pPr>
      <w:r w:rsidRPr="000B5005">
        <w:t xml:space="preserve"> - Формирование представлений об основных принципах медицинской этики и деонтологии. </w:t>
      </w:r>
    </w:p>
    <w:p w:rsidR="000B5005" w:rsidRPr="000B5005" w:rsidRDefault="000B5005" w:rsidP="000B5005">
      <w:pPr>
        <w:pStyle w:val="Default"/>
      </w:pPr>
      <w:r w:rsidRPr="000B5005">
        <w:t xml:space="preserve"> - Формирование у студентов основ клинического мышления на основании анализа симптомов и синдромов, знаний их причин и патогенетической связи.</w:t>
      </w:r>
    </w:p>
    <w:p w:rsidR="000B5005" w:rsidRPr="000B5005" w:rsidRDefault="000B5005" w:rsidP="000B5005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0B5005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0B5005" w:rsidRPr="000B5005" w:rsidRDefault="000B5005" w:rsidP="000B5005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0B5005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0B5005" w:rsidRPr="000B5005" w:rsidRDefault="000B5005" w:rsidP="000B5005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0B5005" w:rsidRPr="000B5005" w:rsidRDefault="000B5005" w:rsidP="000B500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0B5005">
        <w:rPr>
          <w:rFonts w:ascii="Times New Roman" w:hAnsi="Times New Roman" w:cs="Times New Roman"/>
          <w:b/>
          <w:i/>
        </w:rPr>
        <w:t xml:space="preserve">           Общепрофессиональные к</w:t>
      </w:r>
      <w:r w:rsidRPr="000B5005">
        <w:rPr>
          <w:rFonts w:ascii="Times New Roman" w:hAnsi="Times New Roman" w:cs="Times New Roman"/>
          <w:b/>
        </w:rPr>
        <w:t>омпетенции (ОПК)</w:t>
      </w:r>
    </w:p>
    <w:p w:rsidR="000B5005" w:rsidRPr="000B5005" w:rsidRDefault="000B5005" w:rsidP="000B5005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0B5005" w:rsidRPr="000B5005" w:rsidTr="000B50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05" w:rsidRPr="000B5005" w:rsidRDefault="000B5005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Код и наименование компетенции </w:t>
            </w:r>
          </w:p>
          <w:p w:rsidR="000B5005" w:rsidRPr="000B5005" w:rsidRDefault="000B5005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(или ее части)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Код и наименование индикатора достижения   компетенции</w:t>
            </w:r>
          </w:p>
        </w:tc>
      </w:tr>
      <w:tr w:rsidR="000B5005" w:rsidRPr="000B5005" w:rsidTr="000B500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284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</w:rPr>
            </w:pPr>
            <w:r w:rsidRPr="000B5005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                                    </w:t>
            </w:r>
            <w:r w:rsidRPr="000B5005">
              <w:rPr>
                <w:rFonts w:ascii="Times New Roman" w:hAnsi="Times New Roman" w:cs="Times New Roman"/>
                <w:b/>
                <w:i/>
              </w:rPr>
              <w:t>Общепрофессиональные к</w:t>
            </w:r>
            <w:r w:rsidRPr="000B5005">
              <w:rPr>
                <w:rFonts w:ascii="Times New Roman" w:hAnsi="Times New Roman" w:cs="Times New Roman"/>
                <w:b/>
              </w:rPr>
              <w:t>омпетенции (ОПК)</w:t>
            </w:r>
          </w:p>
        </w:tc>
      </w:tr>
      <w:tr w:rsidR="000B5005" w:rsidRPr="000B5005" w:rsidTr="000B50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</w:rPr>
              <w:t>ОПК-4</w:t>
            </w:r>
            <w:r w:rsidRPr="000B5005">
              <w:rPr>
                <w:rFonts w:ascii="Times New Roman" w:hAnsi="Times New Roman" w:cs="Times New Roman"/>
              </w:rPr>
              <w:t xml:space="preserve"> Способен применять </w:t>
            </w:r>
            <w:proofErr w:type="gramStart"/>
            <w:r w:rsidRPr="000B5005">
              <w:rPr>
                <w:rFonts w:ascii="Times New Roman" w:hAnsi="Times New Roman" w:cs="Times New Roman"/>
              </w:rPr>
              <w:t>медицинские изделия</w:t>
            </w:r>
            <w:proofErr w:type="gramEnd"/>
            <w:r w:rsidRPr="000B5005">
              <w:rPr>
                <w:rFonts w:ascii="Times New Roman" w:hAnsi="Times New Roman" w:cs="Times New Roman"/>
              </w:rPr>
              <w:t xml:space="preserve"> предусмотренные порядком оказания медицинской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помощи, а также проводит обследования </w:t>
            </w:r>
            <w:r w:rsidRPr="000B5005">
              <w:rPr>
                <w:rFonts w:ascii="Times New Roman" w:hAnsi="Times New Roman" w:cs="Times New Roman"/>
              </w:rPr>
              <w:lastRenderedPageBreak/>
              <w:t>пациентов с целью установки диагноза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ИД-1 ОПК4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Способность применять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медицинские изделия, предусмотренные порядком оказания медицинской помощи.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ИД-2 ОПК-4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Проводить обследования пациента </w:t>
            </w:r>
            <w:proofErr w:type="spellStart"/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физикальными</w:t>
            </w:r>
            <w:proofErr w:type="spellEnd"/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методами.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ИД-3 ОПК-4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Применять дополнительные  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лабораторно-функциональные методы 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исследования с целью установления 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диагноза в соответствии с порядком  оказания медицинской помощи.</w:t>
            </w:r>
          </w:p>
        </w:tc>
      </w:tr>
      <w:tr w:rsidR="000B5005" w:rsidRPr="000B5005" w:rsidTr="000B500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 w:rsidRPr="000B5005">
              <w:rPr>
                <w:rFonts w:ascii="Times New Roman" w:hAnsi="Times New Roman" w:cs="Times New Roman"/>
                <w:snapToGrid w:val="0"/>
              </w:rPr>
              <w:t xml:space="preserve"> алгоритм мероприятий по обследованию больных, методы обследования больных, </w:t>
            </w:r>
            <w:proofErr w:type="spellStart"/>
            <w:r w:rsidRPr="000B5005">
              <w:rPr>
                <w:rFonts w:ascii="Times New Roman" w:hAnsi="Times New Roman" w:cs="Times New Roman"/>
                <w:snapToGrid w:val="0"/>
              </w:rPr>
              <w:t>деонтологические</w:t>
            </w:r>
            <w:proofErr w:type="spellEnd"/>
            <w:r w:rsidRPr="000B5005">
              <w:rPr>
                <w:rFonts w:ascii="Times New Roman" w:hAnsi="Times New Roman" w:cs="Times New Roman"/>
                <w:snapToGrid w:val="0"/>
              </w:rPr>
              <w:t xml:space="preserve"> аспекты.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уметь: провести обследование пациента. Публично докладывать результаты обследования больного в учебной комнате в присутствии коллег студентов и в палате в присутствии больных. Уметь реагировать на замечания преподавателя и студентов в отношении проделанной им работы с больным. Уметь отстаивать при этом свою точку зрения.</w:t>
            </w:r>
          </w:p>
          <w:p w:rsidR="000B5005" w:rsidRPr="000B5005" w:rsidRDefault="000B5005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0B5005" w:rsidRPr="000B5005" w:rsidRDefault="000B5005">
            <w:pPr>
              <w:shd w:val="clear" w:color="auto" w:fill="FFFFFF"/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 w:rsidRPr="000B5005">
              <w:rPr>
                <w:rFonts w:ascii="Times New Roman" w:hAnsi="Times New Roman" w:cs="Times New Roman"/>
              </w:rPr>
              <w:t xml:space="preserve"> способностью оценивать результаты своей деятельности в работе с больными и при её обсуждении во время клинических разборов, защиты зачетной истории болезни. 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Методиками обследования больных - лабораторными и инструментальными.</w:t>
            </w:r>
          </w:p>
        </w:tc>
      </w:tr>
      <w:tr w:rsidR="000B5005" w:rsidRPr="000B5005" w:rsidTr="000B50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ОПК-5 </w:t>
            </w:r>
            <w:r w:rsidRPr="000B500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ИД-3 ОПК-5 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данных оценки морфофункциональных процессов для решения профессиональных задач.</w:t>
            </w:r>
          </w:p>
        </w:tc>
      </w:tr>
      <w:tr w:rsidR="000B5005" w:rsidRPr="000B5005" w:rsidTr="000B500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строение, топографию и развитие клеток, тканей, органов и систем организма во взаимодействии с их функцией в норме и патологии. Функциональные системы организма человека, их регуляция и </w:t>
            </w:r>
            <w:proofErr w:type="spellStart"/>
            <w:r w:rsidRPr="000B5005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при воздействии с внешней средой в норме и патологии; 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 понятия этиологии, патогенеза, морфогенеза,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патоморфоза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болезни, нозологии, принципы классификации болезней, основные понятия общей нозологии; 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 роль причинных факторов и болезнетворных условий в возникновении типовых патологических процессов и болезней.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пальпировать на человеке основные костные ориентиры, обрисовать топографические контуры органов; интерпретировать результаты наиболее распространенных методов функциональной диагностики, применяемых для выявления патологии крови, сердца и сосудов, легких, почек, печени и </w:t>
            </w:r>
            <w:proofErr w:type="gramStart"/>
            <w:r w:rsidRPr="000B5005">
              <w:rPr>
                <w:rFonts w:ascii="Times New Roman" w:hAnsi="Times New Roman" w:cs="Times New Roman"/>
              </w:rPr>
              <w:t>других органов</w:t>
            </w:r>
            <w:proofErr w:type="gramEnd"/>
            <w:r w:rsidRPr="000B5005">
              <w:rPr>
                <w:rFonts w:ascii="Times New Roman" w:hAnsi="Times New Roman" w:cs="Times New Roman"/>
              </w:rPr>
              <w:t xml:space="preserve"> и систем; распознавать изменения в органах; оценивать результаты электрокардиографии; спирографии; термометрии; гематологических показателей.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</w:rPr>
              <w:lastRenderedPageBreak/>
              <w:t>навыком сопоставления морфологических и клинических проявлений болезней; научной терминологией; сформированной мировоззренческой концепцией;  навыком сопоставления морфологических и клинических проявлений болезней;  методами изучения наследственности у человека (цитогенетический метод, генеалогический метод, близнецовый метод); алгоритмом постановки предварительного и клинического диагноза, навыком сопоставления морфологических и клинических проявлений болезней; методами работы с учебной и учебно-методической литературой.</w:t>
            </w:r>
          </w:p>
        </w:tc>
      </w:tr>
      <w:tr w:rsidR="000B5005" w:rsidRPr="000B5005" w:rsidTr="000B500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ПК-2 </w:t>
            </w:r>
            <w:r w:rsidRPr="000B500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Применение медицинских изделий, предусмотренные  оказанием медицинской помощи.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ИД-1 ПК-2 </w:t>
            </w:r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Проводить полное </w:t>
            </w:r>
            <w:proofErr w:type="spellStart"/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физикальное</w:t>
            </w:r>
            <w:proofErr w:type="spellEnd"/>
            <w:r w:rsidRPr="000B5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обследование пациента (осмотр, пальпация, перкуссия)</w:t>
            </w:r>
          </w:p>
        </w:tc>
      </w:tr>
      <w:tr w:rsidR="000B5005" w:rsidRPr="000B5005" w:rsidTr="000B5005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знать: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этиологию, патогенез, диагностику, лечение и профилактику наиболее часто встречающихся заболеваний; меры предосторожности, специальная одежда; клиническую картину, особенности течения и возможные осложнения наиболее распространенных заболеваний, протекающих в типичной форме, современные методы клинической, лабораторной и инструментальной диагностики больных.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провести опрос больного, его родственников (собрать биологическую, медицинскую, психологическую и социальную информацию); провести </w:t>
            </w:r>
            <w:proofErr w:type="spellStart"/>
            <w:r w:rsidRPr="000B5005">
              <w:rPr>
                <w:rFonts w:ascii="Times New Roman" w:hAnsi="Times New Roman" w:cs="Times New Roman"/>
              </w:rPr>
              <w:t>физикальное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обследование пациента различного возраста (осмотр, пальпация, аускультация, измерение артериального давления (АД), определение характеристик пульса, частоты дыхания), направить его на лабораторно-инструментальное обследование, на консультацию к специалистам;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 </w:t>
            </w:r>
          </w:p>
          <w:p w:rsidR="000B5005" w:rsidRPr="000B5005" w:rsidRDefault="000B5005">
            <w:pPr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владеть:</w:t>
            </w:r>
            <w:r w:rsidRPr="000B5005">
              <w:rPr>
                <w:rFonts w:ascii="Times New Roman" w:hAnsi="Times New Roman" w:cs="Times New Roman"/>
              </w:rPr>
              <w:t xml:space="preserve"> </w:t>
            </w:r>
          </w:p>
          <w:p w:rsidR="000B5005" w:rsidRPr="000B5005" w:rsidRDefault="000B500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ind w:left="142" w:right="3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</w:rPr>
              <w:t>методами ведения медицинской документации; 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пациентам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      </w:r>
          </w:p>
        </w:tc>
      </w:tr>
    </w:tbl>
    <w:p w:rsidR="000B5005" w:rsidRPr="000B5005" w:rsidRDefault="000B5005" w:rsidP="000B5005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0B5005" w:rsidRPr="000B5005" w:rsidRDefault="000B5005" w:rsidP="000B5005">
      <w:pPr>
        <w:spacing w:line="276" w:lineRule="auto"/>
        <w:rPr>
          <w:rFonts w:ascii="Times New Roman" w:hAnsi="Times New Roman" w:cs="Times New Roman"/>
          <w:i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0B5005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0B5005">
        <w:rPr>
          <w:rFonts w:ascii="Times New Roman" w:hAnsi="Times New Roman" w:cs="Times New Roman"/>
          <w:b/>
          <w:bCs/>
          <w:spacing w:val="-4"/>
        </w:rPr>
        <w:t>(модуля)</w:t>
      </w:r>
      <w:r w:rsidRPr="000B5005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0B5005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0B5005" w:rsidRPr="000B5005" w:rsidRDefault="000B5005" w:rsidP="000B5005">
      <w:pPr>
        <w:tabs>
          <w:tab w:val="left" w:pos="708"/>
        </w:tabs>
        <w:ind w:firstLine="425"/>
        <w:jc w:val="both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 xml:space="preserve">Учебная дисциплина «Пропедевтика внутренних болезней» относится к базовой части цикла профессиональных дисциплин. </w:t>
      </w:r>
    </w:p>
    <w:p w:rsidR="000B5005" w:rsidRPr="000B5005" w:rsidRDefault="000B5005" w:rsidP="000B5005">
      <w:pPr>
        <w:ind w:firstLine="425"/>
        <w:jc w:val="both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t xml:space="preserve">Материал дисциплины опирается на ранее приобретенные студентами знания, полученные на предшествующих теоретических кафедрах (нормальная анатомия, нормальная физиология, биохимия, микробиология и вирусология, иммунология, физика, латинский язык, а также на параллельных кафедрах 3 курса – патологической анатомии, патологической физиологии и фармакологии. Полноценное усвоение материала по курсу пропедевтики внутренних болезней является необходимым условием для успешного обучения на кафедрах факультетской терапии, госпитальной терапии и на многих профильных и даже непрофильных кафедрах. </w:t>
      </w:r>
    </w:p>
    <w:p w:rsidR="000B5005" w:rsidRPr="000B5005" w:rsidRDefault="000B5005" w:rsidP="000B5005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 w:cs="Times New Roman"/>
        </w:rPr>
      </w:pPr>
      <w:r w:rsidRPr="000B5005">
        <w:rPr>
          <w:rFonts w:ascii="Times New Roman" w:hAnsi="Times New Roman" w:cs="Times New Roman"/>
        </w:rPr>
        <w:lastRenderedPageBreak/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0B5005" w:rsidRPr="000B5005" w:rsidRDefault="000B5005" w:rsidP="000B5005">
      <w:pPr>
        <w:tabs>
          <w:tab w:val="left" w:pos="708"/>
          <w:tab w:val="right" w:leader="underscore" w:pos="9639"/>
        </w:tabs>
        <w:ind w:firstLine="425"/>
        <w:jc w:val="both"/>
        <w:rPr>
          <w:rFonts w:ascii="Times New Roman" w:hAnsi="Times New Roman" w:cs="Times New Roman"/>
        </w:rPr>
      </w:pPr>
    </w:p>
    <w:p w:rsidR="000B5005" w:rsidRPr="000B5005" w:rsidRDefault="000B5005" w:rsidP="000B500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0B5005">
        <w:rPr>
          <w:rFonts w:ascii="Times New Roman" w:hAnsi="Times New Roman" w:cs="Times New Roman"/>
          <w:b/>
        </w:rPr>
        <w:t>Междисциплинарные связи дисциплины с другими дисциплинами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6047"/>
      </w:tblGrid>
      <w:tr w:rsidR="000B5005" w:rsidRPr="000B5005" w:rsidTr="000B5005">
        <w:trPr>
          <w:trHeight w:val="61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 xml:space="preserve">Наименование дисциплины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Перечень тем, необходимых для изучения первой  неотложной помощи</w:t>
            </w:r>
          </w:p>
        </w:tc>
      </w:tr>
      <w:tr w:rsidR="000B5005" w:rsidRPr="000B5005" w:rsidTr="000B5005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1. Анатомии человека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Анатомическое строение органов  сердечно-сосудистой системы, дыхательной,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 w:rsidRPr="000B5005">
              <w:rPr>
                <w:rFonts w:ascii="Times New Roman" w:hAnsi="Times New Roman" w:cs="Times New Roman"/>
              </w:rPr>
              <w:t>, мочевыделительной, системы крови.</w:t>
            </w:r>
          </w:p>
        </w:tc>
      </w:tr>
      <w:tr w:rsidR="000B5005" w:rsidRPr="000B5005" w:rsidTr="000B5005">
        <w:trPr>
          <w:trHeight w:val="35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2. Гистология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Гистологическое строение органов и систем.</w:t>
            </w:r>
          </w:p>
        </w:tc>
      </w:tr>
      <w:tr w:rsidR="000B5005" w:rsidRPr="000B5005" w:rsidTr="000B5005">
        <w:trPr>
          <w:trHeight w:val="661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3.Микробиология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Устройство микробиологической лаборатории и правила; принципы классификации микроорганизмов; методы выделения чистых культур бактерий; состав микрофлоры организма человека, воздействие на организм микробов, вирусов, грибов.</w:t>
            </w:r>
          </w:p>
        </w:tc>
      </w:tr>
      <w:tr w:rsidR="000B5005" w:rsidRPr="000B5005" w:rsidTr="000B5005">
        <w:trPr>
          <w:trHeight w:val="523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Default"/>
              <w:spacing w:line="276" w:lineRule="auto"/>
            </w:pPr>
            <w:r w:rsidRPr="000B5005">
              <w:t>4.Нормальная физиология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Знать физиологию сердечно-сосудистой, дыхательной,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 w:rsidRPr="000B5005">
              <w:rPr>
                <w:rFonts w:ascii="Times New Roman" w:hAnsi="Times New Roman" w:cs="Times New Roman"/>
              </w:rPr>
              <w:t>, мочевыделительной систем, системы крови.</w:t>
            </w:r>
          </w:p>
        </w:tc>
      </w:tr>
      <w:tr w:rsidR="000B5005" w:rsidRPr="000B5005" w:rsidTr="000B5005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5005">
              <w:rPr>
                <w:rFonts w:ascii="Times New Roman" w:hAnsi="Times New Roman" w:cs="Times New Roman"/>
                <w:bCs/>
              </w:rPr>
              <w:t>5.Паталогическая анатомия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708"/>
              </w:tabs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Знать морфологические изменения тканей организма при патологии сердечно-сосудистой, дыхательной,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пишеварительной</w:t>
            </w:r>
            <w:proofErr w:type="spellEnd"/>
            <w:r w:rsidRPr="000B5005">
              <w:rPr>
                <w:rFonts w:ascii="Times New Roman" w:hAnsi="Times New Roman" w:cs="Times New Roman"/>
              </w:rPr>
              <w:t>, мочевыделительной систем и  системы крови.</w:t>
            </w:r>
          </w:p>
        </w:tc>
      </w:tr>
      <w:tr w:rsidR="000B5005" w:rsidRPr="000B5005" w:rsidTr="000B5005">
        <w:trPr>
          <w:trHeight w:val="789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5005">
              <w:rPr>
                <w:rFonts w:ascii="Times New Roman" w:hAnsi="Times New Roman" w:cs="Times New Roman"/>
                <w:bCs/>
              </w:rPr>
              <w:t>6. Биологическая химия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Знать состав крови, биохимические константы крови, гормоны, буферные системы и т.д.</w:t>
            </w:r>
          </w:p>
        </w:tc>
      </w:tr>
      <w:tr w:rsidR="000B5005" w:rsidRPr="000B5005" w:rsidTr="000B5005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5005">
              <w:rPr>
                <w:rFonts w:ascii="Times New Roman" w:hAnsi="Times New Roman" w:cs="Times New Roman"/>
                <w:bCs/>
              </w:rPr>
              <w:t>7. Физика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Знать виды электромагнитных излучений и корпускулярных излучений, приборы для измерения дозы радиации, действие физического света, тока и т.д.  </w:t>
            </w:r>
          </w:p>
        </w:tc>
      </w:tr>
      <w:tr w:rsidR="000B5005" w:rsidRPr="000B5005" w:rsidTr="000B5005">
        <w:trPr>
          <w:trHeight w:val="364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5005">
              <w:rPr>
                <w:rFonts w:ascii="Times New Roman" w:hAnsi="Times New Roman" w:cs="Times New Roman"/>
                <w:bCs/>
              </w:rPr>
              <w:t>8. Латинский язык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76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Владеть клиническими терминами</w:t>
            </w:r>
          </w:p>
        </w:tc>
      </w:tr>
    </w:tbl>
    <w:p w:rsidR="000B5005" w:rsidRPr="000B5005" w:rsidRDefault="000B5005" w:rsidP="000B50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5005" w:rsidRPr="000B5005" w:rsidRDefault="000B5005" w:rsidP="000B5005">
      <w:pPr>
        <w:pStyle w:val="210"/>
        <w:rPr>
          <w:sz w:val="24"/>
          <w:szCs w:val="24"/>
        </w:rPr>
      </w:pPr>
      <w:r w:rsidRPr="000B5005">
        <w:rPr>
          <w:sz w:val="24"/>
          <w:szCs w:val="24"/>
        </w:rPr>
        <w:t xml:space="preserve">Знания и умения, приобретаемые на дисциплине «Пропедевтика внутренних </w:t>
      </w:r>
    </w:p>
    <w:p w:rsidR="000B5005" w:rsidRPr="000B5005" w:rsidRDefault="000B5005" w:rsidP="000B5005">
      <w:pPr>
        <w:pStyle w:val="210"/>
        <w:rPr>
          <w:sz w:val="24"/>
          <w:szCs w:val="24"/>
        </w:rPr>
      </w:pPr>
      <w:r w:rsidRPr="000B5005">
        <w:rPr>
          <w:sz w:val="24"/>
          <w:szCs w:val="24"/>
        </w:rPr>
        <w:t>болезней» необходимы для изучения следующих дисциплин</w:t>
      </w:r>
    </w:p>
    <w:p w:rsidR="000B5005" w:rsidRPr="000B5005" w:rsidRDefault="000B5005" w:rsidP="000B5005">
      <w:pPr>
        <w:pStyle w:val="21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  <w:lang w:val="en-US"/>
              </w:rPr>
              <w:t>N</w:t>
            </w:r>
          </w:p>
          <w:p w:rsidR="000B5005" w:rsidRPr="000B5005" w:rsidRDefault="000B5005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</w:rPr>
              <w:t>п</w:t>
            </w:r>
            <w:r w:rsidRPr="000B5005">
              <w:rPr>
                <w:sz w:val="24"/>
                <w:szCs w:val="24"/>
                <w:lang w:val="en-US"/>
              </w:rPr>
              <w:t>/</w:t>
            </w:r>
            <w:r w:rsidRPr="000B5005">
              <w:rPr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before="120" w:after="60"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</w:rPr>
              <w:t xml:space="preserve">           Разделы дисциплины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05" w:rsidRPr="000B5005" w:rsidRDefault="000B5005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005" w:rsidRPr="000B5005" w:rsidRDefault="000B5005">
            <w:pPr>
              <w:pStyle w:val="21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</w:rPr>
              <w:t>Общий раздел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sz w:val="24"/>
                <w:szCs w:val="24"/>
              </w:rPr>
            </w:pPr>
            <w:r w:rsidRPr="000B5005">
              <w:rPr>
                <w:sz w:val="24"/>
                <w:szCs w:val="24"/>
              </w:rPr>
              <w:t>Частная патология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Внутренние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Эндокринология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Инфекционные болезни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Онкология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Лучевая диагностика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Клиническая иммунология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  <w:tr w:rsidR="000B5005" w:rsidRPr="000B5005" w:rsidTr="000B50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005" w:rsidRPr="000B5005" w:rsidRDefault="000B5005">
            <w:pPr>
              <w:pStyle w:val="210"/>
              <w:spacing w:line="276" w:lineRule="auto"/>
              <w:rPr>
                <w:b w:val="0"/>
                <w:sz w:val="24"/>
                <w:szCs w:val="24"/>
              </w:rPr>
            </w:pPr>
            <w:r w:rsidRPr="000B5005">
              <w:rPr>
                <w:b w:val="0"/>
                <w:sz w:val="24"/>
                <w:szCs w:val="24"/>
              </w:rPr>
              <w:t>+</w:t>
            </w:r>
          </w:p>
        </w:tc>
      </w:tr>
    </w:tbl>
    <w:p w:rsidR="000B5005" w:rsidRPr="000B5005" w:rsidRDefault="000B5005" w:rsidP="000B500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0B5005" w:rsidRP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B5005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0B5005">
        <w:rPr>
          <w:rFonts w:ascii="Times New Roman" w:hAnsi="Times New Roman" w:cs="Times New Roman"/>
          <w:b/>
          <w:bCs/>
          <w:spacing w:val="-4"/>
        </w:rPr>
        <w:t>(модуля)</w:t>
      </w:r>
      <w:r w:rsidRPr="000B5005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0B5005">
        <w:rPr>
          <w:rFonts w:ascii="Times New Roman" w:hAnsi="Times New Roman" w:cs="Times New Roman"/>
          <w:b/>
          <w:spacing w:val="-6"/>
        </w:rPr>
        <w:t>составляет</w:t>
      </w:r>
      <w:r w:rsidRPr="000B5005">
        <w:rPr>
          <w:rFonts w:ascii="Times New Roman" w:hAnsi="Times New Roman" w:cs="Times New Roman"/>
          <w:b/>
        </w:rPr>
        <w:t xml:space="preserve"> 9 </w:t>
      </w:r>
      <w:r w:rsidRPr="000B5005">
        <w:rPr>
          <w:rFonts w:ascii="Times New Roman" w:hAnsi="Times New Roman" w:cs="Times New Roman"/>
          <w:b/>
          <w:spacing w:val="-6"/>
        </w:rPr>
        <w:t>зачетных единиц,</w:t>
      </w:r>
      <w:r w:rsidRPr="000B5005">
        <w:rPr>
          <w:rFonts w:ascii="Times New Roman" w:hAnsi="Times New Roman" w:cs="Times New Roman"/>
          <w:b/>
        </w:rPr>
        <w:t xml:space="preserve"> 324 академических </w:t>
      </w:r>
      <w:r w:rsidRPr="000B5005">
        <w:rPr>
          <w:rFonts w:ascii="Times New Roman" w:hAnsi="Times New Roman" w:cs="Times New Roman"/>
          <w:b/>
          <w:spacing w:val="-10"/>
        </w:rPr>
        <w:t>часов.</w:t>
      </w:r>
    </w:p>
    <w:p w:rsidR="000B5005" w:rsidRPr="000B5005" w:rsidRDefault="000B5005" w:rsidP="000B5005">
      <w:pPr>
        <w:pStyle w:val="a3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  <w:r w:rsidRPr="000B5005">
        <w:rPr>
          <w:rFonts w:ascii="Times New Roman" w:eastAsiaTheme="minorHAnsi" w:hAnsi="Times New Roman" w:cs="Times New Roman"/>
          <w:color w:val="000000" w:themeColor="text1"/>
          <w:lang w:eastAsia="en-US" w:bidi="ar-SA"/>
        </w:rPr>
        <w:t xml:space="preserve">Общая трудоемкость дисциплины составляет 9 зачетных единиц </w:t>
      </w:r>
    </w:p>
    <w:p w:rsidR="000B5005" w:rsidRPr="000B5005" w:rsidRDefault="000B5005" w:rsidP="000B5005">
      <w:pPr>
        <w:pStyle w:val="a3"/>
        <w:ind w:left="0"/>
        <w:jc w:val="both"/>
        <w:rPr>
          <w:rFonts w:ascii="Times New Roman" w:eastAsiaTheme="minorHAnsi" w:hAnsi="Times New Roman" w:cs="Times New Roman"/>
          <w:color w:val="000000" w:themeColor="text1"/>
          <w:lang w:eastAsia="en-US" w:bidi="ar-SA"/>
        </w:rPr>
      </w:pPr>
    </w:p>
    <w:tbl>
      <w:tblPr>
        <w:tblW w:w="507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2588"/>
        <w:gridCol w:w="2106"/>
        <w:gridCol w:w="763"/>
        <w:gridCol w:w="578"/>
      </w:tblGrid>
      <w:tr w:rsidR="000B5005" w:rsidRPr="000B5005" w:rsidTr="000B5005">
        <w:trPr>
          <w:gridAfter w:val="2"/>
          <w:wAfter w:w="690" w:type="pct"/>
          <w:trHeight w:val="308"/>
        </w:trPr>
        <w:tc>
          <w:tcPr>
            <w:tcW w:w="3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  <w:p w:rsidR="000B5005" w:rsidRPr="000B5005" w:rsidRDefault="000B5005">
            <w:pPr>
              <w:tabs>
                <w:tab w:val="left" w:pos="2172"/>
                <w:tab w:val="center" w:pos="3025"/>
              </w:tabs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lang w:eastAsia="en-US"/>
              </w:rPr>
              <w:tab/>
              <w:t>Виды работы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B5005" w:rsidRPr="000B5005" w:rsidRDefault="000B5005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lang w:eastAsia="en-US"/>
              </w:rPr>
              <w:t>Всего часов</w:t>
            </w:r>
          </w:p>
        </w:tc>
      </w:tr>
      <w:tr w:rsidR="000B5005" w:rsidRPr="000B5005" w:rsidTr="000B500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05" w:rsidRPr="000B5005" w:rsidRDefault="000B500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05" w:rsidRPr="000B5005" w:rsidRDefault="000B5005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lang w:eastAsia="en-US"/>
              </w:rPr>
              <w:t>№4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lang w:eastAsia="en-US"/>
              </w:rPr>
              <w:t>№5</w:t>
            </w:r>
          </w:p>
        </w:tc>
      </w:tr>
      <w:tr w:rsidR="000B5005" w:rsidRPr="000B5005" w:rsidTr="000B5005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B5005" w:rsidRPr="000B5005" w:rsidTr="000B5005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</w:pPr>
            <w:r w:rsidRPr="000B5005">
              <w:rPr>
                <w:rStyle w:val="1"/>
                <w:b/>
                <w:i/>
              </w:rPr>
              <w:t>Контактная работа (всего), в том числе: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0B500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1</w:t>
            </w:r>
            <w:r w:rsidRPr="000B5005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0B500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B5005" w:rsidRPr="000B5005" w:rsidTr="000B5005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</w:pPr>
            <w:r w:rsidRPr="000B5005">
              <w:rPr>
                <w:rStyle w:val="1"/>
                <w:b/>
                <w:i/>
              </w:rPr>
              <w:t>Аудиторная работа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val="en-US" w:eastAsia="en-US"/>
              </w:rPr>
              <w:t>19</w:t>
            </w:r>
            <w:r w:rsidRPr="000B500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1</w:t>
            </w:r>
            <w:r w:rsidRPr="000B5005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Pr="000B500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B5005" w:rsidRPr="000B5005" w:rsidTr="000B5005">
        <w:trPr>
          <w:trHeight w:val="363"/>
        </w:trPr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</w:pPr>
            <w:r w:rsidRPr="000B5005">
              <w:rPr>
                <w:rStyle w:val="1"/>
                <w:b/>
                <w:i/>
              </w:rPr>
              <w:t>Лекции (Л)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0B5005" w:rsidRPr="000B5005" w:rsidTr="000B5005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</w:pPr>
            <w:r w:rsidRPr="000B5005">
              <w:rPr>
                <w:rStyle w:val="1"/>
                <w:b/>
                <w:i/>
              </w:rPr>
              <w:t>Практические занятия (ПЗ),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highlight w:val="gree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1</w:t>
            </w:r>
            <w:r w:rsidRPr="000B5005">
              <w:rPr>
                <w:rFonts w:ascii="Times New Roman" w:hAnsi="Times New Roman" w:cs="Times New Roman"/>
                <w:lang w:val="en-US" w:eastAsia="en-US"/>
              </w:rPr>
              <w:t>4</w:t>
            </w:r>
            <w:r w:rsidRPr="000B50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val="en-US" w:eastAsia="en-US"/>
              </w:rPr>
              <w:t>7</w:t>
            </w:r>
            <w:r w:rsidRPr="000B50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B5005" w:rsidRPr="000B5005" w:rsidTr="000B5005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</w:pPr>
            <w:r w:rsidRPr="000B5005">
              <w:rPr>
                <w:rStyle w:val="1"/>
                <w:b/>
                <w:i/>
              </w:rPr>
              <w:t>Семинары (С)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B5005" w:rsidRPr="000B5005" w:rsidTr="000B5005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</w:pPr>
            <w:r w:rsidRPr="000B5005">
              <w:rPr>
                <w:rStyle w:val="1"/>
                <w:b/>
                <w:i/>
              </w:rPr>
              <w:t>Лабораторные работы (ЛР)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B5005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B5005" w:rsidRPr="000B5005" w:rsidTr="000B5005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</w:pPr>
            <w:r w:rsidRPr="000B5005">
              <w:rPr>
                <w:rStyle w:val="1"/>
                <w:b/>
                <w:i/>
              </w:rPr>
              <w:t>Внеаудиторная работа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B5005" w:rsidRPr="000B5005" w:rsidTr="000B5005">
        <w:tc>
          <w:tcPr>
            <w:tcW w:w="3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 w:rsidRPr="000B5005">
              <w:rPr>
                <w:rStyle w:val="1"/>
                <w:b/>
                <w:i/>
              </w:rPr>
              <w:t>Самостоятельная работа обучающегося (СРО)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ind w:left="741" w:hanging="425"/>
              <w:jc w:val="center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val="en-US" w:eastAsia="en-US"/>
              </w:rPr>
              <w:t>9</w:t>
            </w:r>
            <w:r w:rsidRPr="000B50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B5005">
              <w:rPr>
                <w:rFonts w:ascii="Times New Roman" w:hAnsi="Times New Roman" w:cs="Times New Roman"/>
                <w:lang w:val="en-US" w:eastAsia="en-US"/>
              </w:rPr>
              <w:t>22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</w:tr>
      <w:tr w:rsidR="000B5005" w:rsidRPr="000B5005" w:rsidTr="000B5005"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05" w:rsidRPr="000B5005" w:rsidRDefault="000B5005">
            <w:pPr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</w:rPr>
            </w:pPr>
            <w:r w:rsidRPr="000B5005">
              <w:rPr>
                <w:rStyle w:val="1"/>
                <w:b/>
              </w:rPr>
              <w:t>экзамен (Э)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</w:pPr>
            <w:r w:rsidRPr="000B5005">
              <w:t>3                         36</w:t>
            </w:r>
          </w:p>
          <w:p w:rsidR="000B5005" w:rsidRPr="000B5005" w:rsidRDefault="000B5005">
            <w:pPr>
              <w:pStyle w:val="4"/>
              <w:spacing w:line="276" w:lineRule="auto"/>
              <w:rPr>
                <w:highlight w:val="yellow"/>
              </w:rPr>
            </w:pPr>
            <w:r w:rsidRPr="000B5005">
              <w:rPr>
                <w:highlight w:val="yellow"/>
              </w:rPr>
              <w:t xml:space="preserve">                       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</w:tr>
      <w:tr w:rsidR="000B5005" w:rsidRPr="000B5005" w:rsidTr="000B5005"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 w:rsidRPr="000B5005">
              <w:rPr>
                <w:rStyle w:val="1"/>
                <w:b/>
                <w:i/>
              </w:rPr>
              <w:t xml:space="preserve">           ИТОГО: Общая трудоемкость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  <w:i/>
              </w:rPr>
            </w:pPr>
            <w:r w:rsidRPr="000B5005">
              <w:rPr>
                <w:rStyle w:val="1"/>
                <w:b/>
                <w:i/>
              </w:rPr>
              <w:t>час.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  <w:rPr>
                <w:highlight w:val="yellow"/>
              </w:rPr>
            </w:pPr>
            <w:r w:rsidRPr="000B5005">
              <w:t xml:space="preserve">      324  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</w:p>
        </w:tc>
      </w:tr>
      <w:tr w:rsidR="000B5005" w:rsidRPr="000B5005" w:rsidTr="000B50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05" w:rsidRPr="000B5005" w:rsidRDefault="000B5005">
            <w:pPr>
              <w:widowControl/>
              <w:rPr>
                <w:rStyle w:val="1"/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  <w:rPr>
                <w:rStyle w:val="1"/>
                <w:rFonts w:eastAsiaTheme="minorHAnsi"/>
                <w:b/>
                <w:bCs/>
              </w:rPr>
            </w:pPr>
            <w:r w:rsidRPr="000B5005">
              <w:rPr>
                <w:rStyle w:val="1"/>
                <w:b/>
              </w:rPr>
              <w:t>ЗЕТ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pStyle w:val="4"/>
              <w:spacing w:line="276" w:lineRule="auto"/>
              <w:rPr>
                <w:highlight w:val="yellow"/>
              </w:rPr>
            </w:pPr>
            <w:r w:rsidRPr="000B5005"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>
            <w:pPr>
              <w:spacing w:before="120" w:after="6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</w:tbl>
    <w:p w:rsidR="000B5005" w:rsidRP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0B5005" w:rsidRPr="000B5005" w:rsidRDefault="000B5005" w:rsidP="000B5005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0B5005" w:rsidRP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0B5005">
        <w:rPr>
          <w:rFonts w:ascii="Times New Roman" w:hAnsi="Times New Roman" w:cs="Times New Roman"/>
          <w:b/>
          <w:spacing w:val="-10"/>
        </w:rPr>
        <w:t xml:space="preserve">5.  Основные разделы дисциплины (модуля). </w:t>
      </w:r>
    </w:p>
    <w:p w:rsidR="000B5005" w:rsidRP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0B5005" w:rsidRPr="000B5005" w:rsidRDefault="000B5005" w:rsidP="000B5005">
      <w:pPr>
        <w:pStyle w:val="4"/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3"/>
        <w:gridCol w:w="4173"/>
        <w:gridCol w:w="1984"/>
      </w:tblGrid>
      <w:tr w:rsidR="000B5005" w:rsidRPr="000B5005" w:rsidTr="00D604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5005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Содержание раздела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Контролируемые компетенции</w:t>
            </w:r>
          </w:p>
        </w:tc>
      </w:tr>
      <w:tr w:rsidR="000B5005" w:rsidRPr="000B5005" w:rsidTr="00D604F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B5005" w:rsidRPr="000B5005" w:rsidTr="00D604F1">
        <w:trPr>
          <w:trHeight w:val="444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1.</w:t>
            </w: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50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Введение. Общие методы обследование.</w:t>
            </w: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0B5005">
            <w:pPr>
              <w:pStyle w:val="20"/>
            </w:pPr>
            <w:r w:rsidRPr="000B5005">
              <w:t xml:space="preserve">1. </w:t>
            </w:r>
            <w:r w:rsidRPr="000B5005">
              <w:rPr>
                <w:kern w:val="36"/>
              </w:rPr>
              <w:t xml:space="preserve">Пропедевтика внутренних болезней, определение понятия, ее цели и задачи. </w:t>
            </w:r>
            <w:r w:rsidRPr="000B5005">
              <w:t xml:space="preserve">История болезни – как медицинский и юридический документ, его значение для клиники. Составные части. Ведение истории болезни. Общие методы клинического обследования больного: расспрос (жалобы, история настоящего заболевания, история   жизни). Общие методы клинического обследования больного: общий осмотр. Общие методы клинического обследования больного: пальпация, перкуссия, аускультация.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 xml:space="preserve">   ОПК- 4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>ИД3 -ОПК-4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>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0B5005">
              <w:rPr>
                <w:rFonts w:ascii="Times New Roman" w:hAnsi="Times New Roman" w:cs="Times New Roman"/>
                <w:color w:val="auto"/>
              </w:rPr>
              <w:t>ИД-1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5005" w:rsidRPr="000B5005" w:rsidTr="00D604F1">
        <w:trPr>
          <w:trHeight w:val="239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2.</w:t>
            </w: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Система органов дыхания</w:t>
            </w:r>
            <w:r w:rsidRPr="000B5005"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</w:rPr>
              <w:t xml:space="preserve">Расспрос (жалобы, анамнез заболевания, анамнез жизни), осмотр (лицо, грудная клетка, конечности) больного с заболеваниями органов дыхания. Пальпация при заболеваниях органов дыхания Сравнительная и топографическая перкуссия легких. Аускультация легких, методика и техника ее проведения. Нормальные дыхательные шумы. Везикулярное и бронхиальное дыхание в норме и патологии.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Бронхофония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. Патологические дыхательные шумы: хрипы (сухие и влажные), крепитация, шум трения плевры. Лабораторное исследование мокроты и плеврального выпота. Инструментальные (спирография,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пикфлоуметрия</w:t>
            </w:r>
            <w:proofErr w:type="spellEnd"/>
            <w:r w:rsidRPr="000B5005">
              <w:rPr>
                <w:rFonts w:ascii="Times New Roman" w:hAnsi="Times New Roman" w:cs="Times New Roman"/>
              </w:rPr>
              <w:t>, бронхоскопия) и рентгенологические (бронхография, рентгеноскопия, рентгенография, компьютерная томография) методы исследования при заболеваниях органов дыхания.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 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ИД3 -ОПК-4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ИД1 –ПК2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5005" w:rsidRPr="000B5005" w:rsidTr="00D604F1">
        <w:trPr>
          <w:trHeight w:val="239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Система органов кровообращения (ССС).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0B5005">
            <w:pPr>
              <w:pStyle w:val="a7"/>
              <w:rPr>
                <w:lang w:eastAsia="en-US"/>
              </w:rPr>
            </w:pPr>
            <w:r w:rsidRPr="000B5005">
              <w:rPr>
                <w:rStyle w:val="21"/>
                <w:b w:val="0"/>
              </w:rPr>
              <w:t xml:space="preserve">Расспрос (жалобы, анамнез заболевания, анамнез жизни) больного с заболеваниями органов кровообращения. Осмотр и пальпация области сердца. Перкуссия сердца. Аускультация сердца: методика и техника. Точки аускультации сердца. Тоны сердца (1 и 2 тон) и их компоненты (в норме и патологии). Аускультация шумов сердца. Функциональные и органические шумы, механизм их образования. Систолический шум функционального и органического происхождения. Исследования сосудов. Пульс и его характеристика.  Места возможной пальпации. Допплерография сосудов, </w:t>
            </w:r>
            <w:proofErr w:type="spellStart"/>
            <w:r w:rsidRPr="000B5005">
              <w:rPr>
                <w:rStyle w:val="21"/>
                <w:b w:val="0"/>
              </w:rPr>
              <w:t>рентгеноконтрастная</w:t>
            </w:r>
            <w:proofErr w:type="spellEnd"/>
            <w:r w:rsidRPr="000B5005">
              <w:rPr>
                <w:rStyle w:val="21"/>
                <w:b w:val="0"/>
              </w:rPr>
              <w:t xml:space="preserve"> ангиография.  Артериальное давление (АД), техника его измерения. Нормативы АД по ВОЗ. Эхокардиография (</w:t>
            </w:r>
            <w:proofErr w:type="spellStart"/>
            <w:r w:rsidRPr="000B5005">
              <w:rPr>
                <w:rStyle w:val="21"/>
                <w:b w:val="0"/>
              </w:rPr>
              <w:t>ЭхКГ</w:t>
            </w:r>
            <w:proofErr w:type="spellEnd"/>
            <w:r w:rsidRPr="000B5005">
              <w:rPr>
                <w:rStyle w:val="21"/>
                <w:b w:val="0"/>
              </w:rPr>
              <w:t xml:space="preserve">), основные </w:t>
            </w:r>
            <w:proofErr w:type="spellStart"/>
            <w:r w:rsidRPr="000B5005">
              <w:rPr>
                <w:rStyle w:val="21"/>
                <w:b w:val="0"/>
              </w:rPr>
              <w:t>эхокардиографические</w:t>
            </w:r>
            <w:proofErr w:type="spellEnd"/>
            <w:r w:rsidRPr="000B5005">
              <w:rPr>
                <w:rStyle w:val="21"/>
                <w:b w:val="0"/>
              </w:rPr>
              <w:t xml:space="preserve"> показатели сердца. Электрокардиография. Принципы электрокардиографического исследования. Нарушение сердечного ритма. Нарушения</w:t>
            </w:r>
            <w:r w:rsidRPr="000B5005">
              <w:t xml:space="preserve"> </w:t>
            </w:r>
            <w:r w:rsidRPr="000B5005">
              <w:rPr>
                <w:rFonts w:ascii="Times New Roman" w:hAnsi="Times New Roman" w:cs="Times New Roman"/>
              </w:rPr>
              <w:t>проводимости сердца.</w:t>
            </w:r>
            <w:r w:rsidRPr="000B5005"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B5005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  </w:t>
            </w:r>
            <w:r w:rsidRPr="000B500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ИД3 -ОПК-4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 xml:space="preserve">Система органов </w:t>
            </w:r>
            <w:proofErr w:type="spellStart"/>
            <w:r w:rsidRPr="000B5005">
              <w:rPr>
                <w:rFonts w:ascii="Times New Roman" w:hAnsi="Times New Roman" w:cs="Times New Roman"/>
                <w:lang w:eastAsia="en-US"/>
              </w:rPr>
              <w:t>пишеварения</w:t>
            </w:r>
            <w:proofErr w:type="spellEnd"/>
            <w:r w:rsidRPr="000B5005">
              <w:rPr>
                <w:rFonts w:ascii="Times New Roman" w:hAnsi="Times New Roman" w:cs="Times New Roman"/>
                <w:lang w:eastAsia="en-US"/>
              </w:rPr>
              <w:t xml:space="preserve"> (желудок, кишечник, поджелудочная железа,(ЖКТ).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0B5005">
            <w:pPr>
              <w:pStyle w:val="a7"/>
              <w:rPr>
                <w:lang w:eastAsia="en-US"/>
              </w:rPr>
            </w:pPr>
            <w:r w:rsidRPr="000B5005">
              <w:rPr>
                <w:rFonts w:ascii="Times New Roman" w:hAnsi="Times New Roman" w:cs="Times New Roman"/>
              </w:rPr>
              <w:t xml:space="preserve">Расспрос (жалобы, анамнез заболевания, анамнез жизни), осмотр больного с заболеваниями пищевода, желудка, кишечника, поджелудочной железы. Пальпация живота, методики поверхностной ориентировочной и методической глубокой скользящей пальпации. Перкуссия и аускультация живота при исследовании органов брюшной полости.  Лабораторно-инструментальные методы исследования при заболеваниях пищевода и желудка.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Эзофагогастродуоденоскопия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гастробиопсия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, внутрижелудочная рН-метрия, рентгенологическое исследование – показания, </w:t>
            </w:r>
            <w:proofErr w:type="spellStart"/>
            <w:proofErr w:type="gramStart"/>
            <w:r w:rsidRPr="000B5005">
              <w:rPr>
                <w:rFonts w:ascii="Times New Roman" w:hAnsi="Times New Roman" w:cs="Times New Roman"/>
              </w:rPr>
              <w:t>возможности.Лабораторно</w:t>
            </w:r>
            <w:proofErr w:type="spellEnd"/>
            <w:proofErr w:type="gramEnd"/>
            <w:r w:rsidRPr="000B5005">
              <w:rPr>
                <w:rFonts w:ascii="Times New Roman" w:hAnsi="Times New Roman" w:cs="Times New Roman"/>
              </w:rPr>
              <w:t xml:space="preserve">-инструментальные методы исследования при заболеваниях кишечника, поджелудочной железы.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Копроскопия</w:t>
            </w:r>
            <w:proofErr w:type="spellEnd"/>
            <w:r w:rsidRPr="000B5005">
              <w:rPr>
                <w:rFonts w:ascii="Times New Roman" w:hAnsi="Times New Roman" w:cs="Times New Roman"/>
              </w:rPr>
              <w:t>: макро-  и   микроскопические показатели</w:t>
            </w:r>
            <w:r w:rsidRPr="000B5005">
              <w:t xml:space="preserve">. 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  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ИД3 -ОПК-4 ОПК-5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ИД-3 ОПК5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05" w:rsidRPr="000B5005" w:rsidRDefault="000B5005" w:rsidP="00D604F1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B5005">
              <w:rPr>
                <w:rFonts w:ascii="Times New Roman" w:hAnsi="Times New Roman" w:cs="Times New Roman"/>
                <w:lang w:eastAsia="en-US"/>
              </w:rPr>
              <w:t>Гепатобилиарная</w:t>
            </w:r>
            <w:proofErr w:type="spellEnd"/>
            <w:r w:rsidRPr="000B5005">
              <w:rPr>
                <w:rFonts w:ascii="Times New Roman" w:hAnsi="Times New Roman" w:cs="Times New Roman"/>
                <w:lang w:eastAsia="en-US"/>
              </w:rPr>
              <w:t xml:space="preserve"> система (печень, желчный пузырь).</w:t>
            </w:r>
          </w:p>
          <w:p w:rsidR="000B5005" w:rsidRPr="000B5005" w:rsidRDefault="000B5005" w:rsidP="00D604F1">
            <w:pPr>
              <w:spacing w:before="12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0B5005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</w:rPr>
              <w:t xml:space="preserve">Расспрос (жалобы больных, анамнез болезни, анамнез жизни), осмотр больного с заболеванием печени и желчного пузыря. Периферические признаки цирроза печени. Пальпация печени и селезенки. Биохимические исследования крови (в норме и при патологии): белки и белковые фракции; показатели пигментного обмена (билирубин в крови и </w:t>
            </w:r>
            <w:proofErr w:type="spellStart"/>
            <w:r w:rsidRPr="000B5005">
              <w:rPr>
                <w:rFonts w:ascii="Times New Roman" w:hAnsi="Times New Roman" w:cs="Times New Roman"/>
              </w:rPr>
              <w:t>уробилиновые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тела в моче); показатели клеточных ферментов печени (АСТ, АЛТ, ЛДГ, ГГТ, ЩФ). УЗИ,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эластометрия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005">
              <w:rPr>
                <w:rFonts w:ascii="Times New Roman" w:hAnsi="Times New Roman" w:cs="Times New Roman"/>
              </w:rPr>
              <w:t>эластография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) печени. </w:t>
            </w:r>
            <w:r w:rsidRPr="000B5005">
              <w:rPr>
                <w:rFonts w:ascii="Times New Roman" w:hAnsi="Times New Roman" w:cs="Times New Roman"/>
                <w:color w:val="000000" w:themeColor="text1"/>
              </w:rPr>
              <w:t>Специфическая лабораторная диагностика вирусных гепатитов: 1. Диагностические тесты (м</w:t>
            </w:r>
            <w:r w:rsidRPr="000B500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аркеры) вирусного гепатита В (</w:t>
            </w:r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антигены вируса –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HBsAg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HВeAg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, антитела –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Ig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 M и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Ig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 G к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НВсAg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IgG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HВeAg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IgG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HBsAg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B5005">
              <w:rPr>
                <w:rFonts w:ascii="Times New Roman" w:hAnsi="Times New Roman" w:cs="Times New Roman"/>
                <w:color w:val="000000" w:themeColor="text1"/>
              </w:rPr>
              <w:t>методомИФА</w:t>
            </w:r>
            <w:proofErr w:type="spellEnd"/>
            <w:r w:rsidRPr="000B5005">
              <w:rPr>
                <w:rFonts w:ascii="Times New Roman" w:hAnsi="Times New Roman" w:cs="Times New Roman"/>
                <w:color w:val="000000" w:themeColor="text1"/>
              </w:rPr>
              <w:t>, ДНК вируса методом ПЦР) и их интерпретация; Портальная гипертония, методы выявления. Печеночно-клеточная недостаточность.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  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ИД3 -ОПК-4 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before="1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Система органов мочевыделения.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eastAsia="Times New Roman" w:hAnsi="Times New Roman" w:cs="Times New Roman"/>
              </w:rPr>
              <w:t xml:space="preserve">Расспрос (жалобы, анамнез заболевания, анамнез жизни), осмотр больного с заболеваниями почек и мочевыводящих путей. Пальпация почек и мочевого пузыря. Симптом </w:t>
            </w:r>
            <w:proofErr w:type="spellStart"/>
            <w:r w:rsidRPr="000B5005">
              <w:rPr>
                <w:rFonts w:ascii="Times New Roman" w:eastAsia="Times New Roman" w:hAnsi="Times New Roman" w:cs="Times New Roman"/>
              </w:rPr>
              <w:t>Пастернацкого</w:t>
            </w:r>
            <w:proofErr w:type="spellEnd"/>
            <w:r w:rsidRPr="000B5005">
              <w:rPr>
                <w:rFonts w:ascii="Times New Roman" w:eastAsia="Times New Roman" w:hAnsi="Times New Roman" w:cs="Times New Roman"/>
              </w:rPr>
              <w:t xml:space="preserve">. Лабораторно- инструментальные методы исследования при заболеваниях почек и мочевыводящих путей. Ультразвуковое и рентгенологические (обзорная рентгенография, экскреторная урография, КТ, </w:t>
            </w:r>
            <w:proofErr w:type="spellStart"/>
            <w:r w:rsidRPr="000B5005">
              <w:rPr>
                <w:rFonts w:ascii="Times New Roman" w:eastAsia="Times New Roman" w:hAnsi="Times New Roman" w:cs="Times New Roman"/>
              </w:rPr>
              <w:t>магнитнорезонансная</w:t>
            </w:r>
            <w:proofErr w:type="spellEnd"/>
            <w:r w:rsidRPr="000B5005">
              <w:rPr>
                <w:rFonts w:ascii="Times New Roman" w:eastAsia="Times New Roman" w:hAnsi="Times New Roman" w:cs="Times New Roman"/>
              </w:rPr>
              <w:t xml:space="preserve"> томография –МРТ) исследования, биопсия почек.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  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ИД3 -ОПК-4 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Default"/>
              <w:rPr>
                <w:b/>
              </w:rPr>
            </w:pPr>
            <w:r w:rsidRPr="000B5005">
              <w:t>Система органов кроветворения.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0B500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B5005">
              <w:rPr>
                <w:rFonts w:ascii="Times New Roman" w:hAnsi="Times New Roman" w:cs="Times New Roman"/>
              </w:rPr>
              <w:t xml:space="preserve"> Расспрос (жалобы, анамнез заболевания, анамнез жизни), осмотр больного с заболеваниями органов кроветворения. Пальпация, перкуссия и аускультация при болезнях системы крови. Лабораторно-инструментальные методы исследования при заболеваниях системы крови.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Миелограмма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костного мозга: расшифровка, норма </w:t>
            </w:r>
            <w:r w:rsidRPr="000B5005">
              <w:rPr>
                <w:rFonts w:ascii="Times New Roman" w:hAnsi="Times New Roman" w:cs="Times New Roman"/>
              </w:rPr>
              <w:lastRenderedPageBreak/>
              <w:t xml:space="preserve">(количество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миелокариоцитов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, мегакариоцитов,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бластных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клеток, соотношение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лейко</w:t>
            </w:r>
            <w:proofErr w:type="spellEnd"/>
            <w:r w:rsidRPr="000B5005">
              <w:rPr>
                <w:rFonts w:ascii="Times New Roman" w:hAnsi="Times New Roman" w:cs="Times New Roman"/>
              </w:rPr>
              <w:t>/</w:t>
            </w:r>
            <w:proofErr w:type="spellStart"/>
            <w:r w:rsidRPr="000B5005">
              <w:rPr>
                <w:rFonts w:ascii="Times New Roman" w:hAnsi="Times New Roman" w:cs="Times New Roman"/>
              </w:rPr>
              <w:t>эритро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элементов), что показывает.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lastRenderedPageBreak/>
              <w:t>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ИД3 -ОПК-4 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Default"/>
              <w:rPr>
                <w:b/>
              </w:rPr>
            </w:pPr>
            <w:r w:rsidRPr="000B5005">
              <w:t xml:space="preserve">Эндокринная система. 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0B500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B5005">
              <w:rPr>
                <w:rFonts w:ascii="Times New Roman" w:hAnsi="Times New Roman" w:cs="Times New Roman"/>
              </w:rPr>
              <w:t xml:space="preserve">Эндокринные заболевания в практике терапевта. Расспрос (жалобы, анамнез заболевания, анамнез жизни), осмотр больного с заболеваниями эндокринной системы (гипофиза, щитовидной железы, поджелудочной железы, надпочечников). Пальпация, перкуссия и аускультация при заболеваниях эндокринной системы. Лабораторно-инструментальные методы исследования при заболеваниях эндокринных желез.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ИД-2-ОПК4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ИД3 -ОПК-4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   ИД1 –ПК2</w:t>
            </w:r>
          </w:p>
        </w:tc>
      </w:tr>
      <w:tr w:rsidR="000B5005" w:rsidRPr="000B5005" w:rsidTr="00D604F1">
        <w:trPr>
          <w:trHeight w:val="85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spacing w:afterLines="60" w:after="144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B5005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Default"/>
            </w:pPr>
            <w:r w:rsidRPr="000B5005">
              <w:t>Частная патология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0B5005">
            <w:pPr>
              <w:pStyle w:val="a7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Пневмонии. Бронхиальная астма. ХОБЛ (хронический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обструктивный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 бронхит). Дыхательная недостаточность. Хроническая ревматическая болезнь сердца. Недостаточность митрального клапана. Стеноз левого атриовентрикулярного отверстия. Недостаточность аортального клапана. Стеноз устья аорты.</w:t>
            </w:r>
            <w:r w:rsidRPr="000B5005">
              <w:rPr>
                <w:rFonts w:ascii="Times New Roman" w:hAnsi="Times New Roman" w:cs="Times New Roman"/>
                <w:bCs/>
                <w:kern w:val="36"/>
              </w:rPr>
              <w:t xml:space="preserve"> Артериальные гипертензии.</w:t>
            </w:r>
            <w:r w:rsidRPr="000B5005">
              <w:rPr>
                <w:rFonts w:ascii="Times New Roman" w:hAnsi="Times New Roman" w:cs="Times New Roman"/>
              </w:rPr>
              <w:t xml:space="preserve"> Ишемическая болезнь сердца (ИБС). Инфаркт миокарда (ИМ). Острая (сердечная астма и отек легких) и хроническая (лево- и правожелудочковая) сердечная недостаточность. Язвенная болезнь желудка и 12-перстной кишки.  Хронические гепатиты.  Циррозы печени.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Гломерулонефрит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. Почечная недостаточность. Анемии. Гемолитические анемии. 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Гемобластозы</w:t>
            </w:r>
            <w:proofErr w:type="spellEnd"/>
            <w:r w:rsidRPr="000B5005">
              <w:rPr>
                <w:rFonts w:ascii="Times New Roman" w:hAnsi="Times New Roman" w:cs="Times New Roman"/>
              </w:rPr>
              <w:t xml:space="preserve">. Сахарный диабет (СД). Заболевания щитовидной железы. </w:t>
            </w:r>
            <w:proofErr w:type="spellStart"/>
            <w:r w:rsidRPr="000B5005">
              <w:rPr>
                <w:rFonts w:ascii="Times New Roman" w:hAnsi="Times New Roman" w:cs="Times New Roman"/>
              </w:rPr>
              <w:t>Аллергозы</w:t>
            </w:r>
            <w:proofErr w:type="spellEnd"/>
            <w:r w:rsidRPr="000B5005">
              <w:rPr>
                <w:rFonts w:ascii="Times New Roman" w:hAnsi="Times New Roman" w:cs="Times New Roman"/>
              </w:rPr>
              <w:t>. Методы обследования больных с заболеваниями суставов и соединительной ткани.  Ревматоидный артрит. Защита истории болезни.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 xml:space="preserve">ОПК-4, 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ИД-1 ОПК4</w:t>
            </w:r>
          </w:p>
          <w:p w:rsidR="000B5005" w:rsidRPr="000B5005" w:rsidRDefault="000B5005" w:rsidP="00D604F1">
            <w:pPr>
              <w:pStyle w:val="Heading-1"/>
              <w:spacing w:line="240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0B5005">
              <w:rPr>
                <w:b w:val="0"/>
                <w:color w:val="000000" w:themeColor="text1"/>
                <w:sz w:val="24"/>
                <w:szCs w:val="24"/>
              </w:rPr>
              <w:t>ИД2-ОПК-4</w:t>
            </w:r>
          </w:p>
          <w:p w:rsidR="000B5005" w:rsidRPr="000B5005" w:rsidRDefault="000B5005" w:rsidP="00D604F1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B5005">
              <w:rPr>
                <w:b w:val="0"/>
                <w:color w:val="000000" w:themeColor="text1"/>
                <w:sz w:val="24"/>
                <w:szCs w:val="24"/>
              </w:rPr>
              <w:t>ИД3-ОПК-4</w:t>
            </w:r>
          </w:p>
          <w:p w:rsidR="000B5005" w:rsidRPr="000B5005" w:rsidRDefault="000B5005" w:rsidP="00D604F1">
            <w:pPr>
              <w:pStyle w:val="Heading-1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0B5005">
              <w:rPr>
                <w:b w:val="0"/>
                <w:color w:val="000000" w:themeColor="text1"/>
                <w:sz w:val="24"/>
                <w:szCs w:val="24"/>
              </w:rPr>
              <w:t>ОПК-5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ИД-3-ОПК5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ОПК10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ИД1 ОПК-10, ИД2 ОПК-10, ИД3 ОПК-10, ИД4 ОПК-10, ИД5 ОПК-10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ПК-2</w:t>
            </w:r>
          </w:p>
          <w:p w:rsidR="000B5005" w:rsidRPr="000B5005" w:rsidRDefault="000B5005" w:rsidP="00D604F1">
            <w:pPr>
              <w:pStyle w:val="a3"/>
              <w:rPr>
                <w:rFonts w:ascii="Times New Roman" w:hAnsi="Times New Roman" w:cs="Times New Roman"/>
              </w:rPr>
            </w:pPr>
            <w:r w:rsidRPr="000B5005">
              <w:rPr>
                <w:rFonts w:ascii="Times New Roman" w:hAnsi="Times New Roman" w:cs="Times New Roman"/>
              </w:rPr>
              <w:t>ИД1- ПК-2</w:t>
            </w:r>
          </w:p>
        </w:tc>
      </w:tr>
    </w:tbl>
    <w:p w:rsidR="000B5005" w:rsidRP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0B5005" w:rsidRPr="000B5005" w:rsidRDefault="000B5005" w:rsidP="000B500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B5005" w:rsidRPr="000B5005" w:rsidRDefault="000B5005" w:rsidP="000B500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0B5005"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 w:rsidRPr="000B5005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proofErr w:type="gramStart"/>
      <w:r w:rsidRPr="000B5005">
        <w:rPr>
          <w:rFonts w:ascii="Times New Roman" w:hAnsi="Times New Roman" w:cs="Times New Roman"/>
          <w:bCs/>
          <w:spacing w:val="-7"/>
        </w:rPr>
        <w:t>Экзамен  5</w:t>
      </w:r>
      <w:proofErr w:type="gramEnd"/>
      <w:r w:rsidRPr="000B5005">
        <w:rPr>
          <w:rFonts w:ascii="Times New Roman" w:hAnsi="Times New Roman" w:cs="Times New Roman"/>
          <w:bCs/>
          <w:spacing w:val="-7"/>
        </w:rPr>
        <w:t xml:space="preserve"> семестр </w:t>
      </w: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0B5005">
        <w:rPr>
          <w:rFonts w:ascii="Times New Roman" w:hAnsi="Times New Roman" w:cs="Times New Roman"/>
          <w:b/>
          <w:bCs/>
          <w:spacing w:val="-7"/>
        </w:rPr>
        <w:t xml:space="preserve">Кафедра - разработчик </w:t>
      </w:r>
      <w:r w:rsidRPr="000B5005">
        <w:rPr>
          <w:rFonts w:ascii="Times New Roman" w:hAnsi="Times New Roman" w:cs="Times New Roman"/>
          <w:bCs/>
          <w:spacing w:val="-7"/>
        </w:rPr>
        <w:t>Пропедевтика внутренних болезней</w:t>
      </w: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pStyle w:val="a3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0B5005" w:rsidRPr="000B5005" w:rsidRDefault="000B5005" w:rsidP="000B5005">
      <w:pPr>
        <w:rPr>
          <w:rFonts w:ascii="Times New Roman" w:hAnsi="Times New Roman" w:cs="Times New Roman"/>
        </w:rPr>
      </w:pPr>
    </w:p>
    <w:p w:rsidR="0062595A" w:rsidRPr="000B5005" w:rsidRDefault="0062595A">
      <w:pPr>
        <w:rPr>
          <w:rFonts w:ascii="Times New Roman" w:hAnsi="Times New Roman" w:cs="Times New Roman"/>
        </w:rPr>
      </w:pPr>
    </w:p>
    <w:sectPr w:rsidR="0062595A" w:rsidRPr="000B5005" w:rsidSect="0062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005"/>
    <w:rsid w:val="000B5005"/>
    <w:rsid w:val="0062595A"/>
    <w:rsid w:val="007D08C0"/>
    <w:rsid w:val="00D057DD"/>
    <w:rsid w:val="00E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BBF7"/>
  <w15:docId w15:val="{1E4A2AFF-444F-4793-B887-1093BB91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0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HTML Top of Form"/>
    <w:basedOn w:val="a"/>
    <w:link w:val="a4"/>
    <w:autoRedefine/>
    <w:uiPriority w:val="34"/>
    <w:unhideWhenUsed/>
    <w:qFormat/>
    <w:rsid w:val="000B5005"/>
    <w:pPr>
      <w:ind w:left="720"/>
      <w:contextualSpacing/>
    </w:pPr>
  </w:style>
  <w:style w:type="paragraph" w:customStyle="1" w:styleId="ConsPlusNormal">
    <w:name w:val="ConsPlusNormal"/>
    <w:autoRedefine/>
    <w:uiPriority w:val="99"/>
    <w:semiHidden/>
    <w:qFormat/>
    <w:rsid w:val="000B5005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locked/>
    <w:rsid w:val="000B5005"/>
    <w:rPr>
      <w:rFonts w:ascii="Times New Roman" w:hAnsi="Times New Roman" w:cs="Times New Roman"/>
      <w:bCs/>
      <w:shd w:val="clear" w:color="auto" w:fill="FFFFFF"/>
    </w:rPr>
  </w:style>
  <w:style w:type="paragraph" w:customStyle="1" w:styleId="20">
    <w:name w:val="Заголовок №2"/>
    <w:basedOn w:val="a"/>
    <w:link w:val="2"/>
    <w:autoRedefine/>
    <w:qFormat/>
    <w:rsid w:val="000B5005"/>
    <w:pPr>
      <w:shd w:val="clear" w:color="auto" w:fill="FFFFFF"/>
      <w:spacing w:before="240" w:line="274" w:lineRule="exact"/>
      <w:contextualSpacing/>
      <w:outlineLvl w:val="1"/>
    </w:pPr>
    <w:rPr>
      <w:rFonts w:ascii="Times New Roman" w:eastAsiaTheme="minorHAnsi" w:hAnsi="Times New Roman" w:cs="Times New Roman"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autoRedefine/>
    <w:uiPriority w:val="99"/>
    <w:qFormat/>
    <w:rsid w:val="000B5005"/>
    <w:pPr>
      <w:tabs>
        <w:tab w:val="left" w:pos="709"/>
      </w:tabs>
      <w:autoSpaceDE w:val="0"/>
      <w:autoSpaceDN w:val="0"/>
      <w:adjustRightInd w:val="0"/>
      <w:spacing w:after="0" w:line="240" w:lineRule="auto"/>
      <w:ind w:left="284" w:right="670"/>
      <w:contextualSpacing/>
      <w:jc w:val="both"/>
    </w:pPr>
    <w:rPr>
      <w:rFonts w:ascii="Times New Roman" w:eastAsia="Calibri" w:hAnsi="Times New Roman" w:cs="Times New Roman"/>
      <w:color w:val="000000" w:themeColor="text1"/>
      <w:spacing w:val="-4"/>
      <w:sz w:val="24"/>
      <w:szCs w:val="24"/>
    </w:rPr>
  </w:style>
  <w:style w:type="character" w:customStyle="1" w:styleId="21">
    <w:name w:val="Основной текст (2)_"/>
    <w:link w:val="210"/>
    <w:locked/>
    <w:rsid w:val="000B5005"/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autoRedefine/>
    <w:qFormat/>
    <w:rsid w:val="000B5005"/>
    <w:pPr>
      <w:contextualSpacing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link w:val="4"/>
    <w:uiPriority w:val="99"/>
    <w:locked/>
    <w:rsid w:val="000B5005"/>
    <w:rPr>
      <w:rFonts w:ascii="Times New Roman" w:eastAsia="Times New Roman" w:hAnsi="Times New Roman" w:cs="Times New Roman"/>
      <w:iCs/>
      <w:color w:val="000000" w:themeColor="text1"/>
      <w:sz w:val="24"/>
      <w:szCs w:val="24"/>
    </w:rPr>
  </w:style>
  <w:style w:type="paragraph" w:customStyle="1" w:styleId="4">
    <w:name w:val="Основной текст4"/>
    <w:basedOn w:val="a"/>
    <w:link w:val="a5"/>
    <w:autoRedefine/>
    <w:uiPriority w:val="99"/>
    <w:qFormat/>
    <w:rsid w:val="000B5005"/>
    <w:pPr>
      <w:tabs>
        <w:tab w:val="left" w:pos="-567"/>
        <w:tab w:val="center" w:pos="597"/>
      </w:tabs>
      <w:ind w:left="-709"/>
      <w:contextualSpacing/>
      <w:jc w:val="center"/>
    </w:pPr>
    <w:rPr>
      <w:rFonts w:ascii="Times New Roman" w:eastAsia="Times New Roman" w:hAnsi="Times New Roman" w:cs="Times New Roman"/>
      <w:iCs/>
      <w:color w:val="000000" w:themeColor="text1"/>
      <w:lang w:eastAsia="en-US" w:bidi="ar-SA"/>
    </w:rPr>
  </w:style>
  <w:style w:type="paragraph" w:customStyle="1" w:styleId="Heading-1">
    <w:name w:val="Heading-1"/>
    <w:basedOn w:val="a"/>
    <w:autoRedefine/>
    <w:uiPriority w:val="99"/>
    <w:qFormat/>
    <w:rsid w:val="000B5005"/>
    <w:pPr>
      <w:widowControl/>
      <w:autoSpaceDN w:val="0"/>
      <w:spacing w:line="220" w:lineRule="auto"/>
      <w:contextualSpacing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Основной текст1"/>
    <w:rsid w:val="000B5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4">
    <w:name w:val="Обычный (веб) Знак"/>
    <w:aliases w:val="Знак Знак,HTML Top of Form Знак"/>
    <w:link w:val="a3"/>
    <w:uiPriority w:val="34"/>
    <w:locked/>
    <w:rsid w:val="000B500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0B500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0B500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2707</Words>
  <Characters>15430</Characters>
  <Application>Microsoft Office Word</Application>
  <DocSecurity>0</DocSecurity>
  <Lines>128</Lines>
  <Paragraphs>36</Paragraphs>
  <ScaleCrop>false</ScaleCrop>
  <Company>HOME</Company>
  <LinksUpToDate>false</LinksUpToDate>
  <CharactersWithSpaces>18101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Abduljappar Press</cp:lastModifiedBy>
  <cp:revision>6</cp:revision>
  <dcterms:created xsi:type="dcterms:W3CDTF">2023-08-08T00:28:00Z</dcterms:created>
  <dcterms:modified xsi:type="dcterms:W3CDTF">2023-11-23T13:27:00Z</dcterms:modified>
</cp:coreProperties>
</file>