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1A" w:rsidRDefault="00F53A1A" w:rsidP="00F53A1A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1D0C27">
        <w:rPr>
          <w:sz w:val="24"/>
          <w:szCs w:val="24"/>
        </w:rPr>
        <w:t>АННОТАЦИЯ РАБОЧЕЙ ПРОГРАММЫ</w:t>
      </w:r>
    </w:p>
    <w:p w:rsidR="00F53A1A" w:rsidRPr="001D0C27" w:rsidRDefault="00F53A1A" w:rsidP="00F53A1A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МЕДИЦИНСКАЯ РЕАБИЛИТАЦИЯ</w:t>
      </w:r>
    </w:p>
    <w:p w:rsidR="00F53A1A" w:rsidRPr="001D0C27" w:rsidRDefault="00F53A1A" w:rsidP="00F53A1A">
      <w:pPr>
        <w:shd w:val="clear" w:color="auto" w:fill="FFFFFF"/>
        <w:ind w:left="2808"/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color w:val="000000"/>
          <w:spacing w:val="-2"/>
          <w:w w:val="123"/>
          <w:sz w:val="24"/>
          <w:szCs w:val="24"/>
        </w:rPr>
        <w:t>Индекс дисциплины</w:t>
      </w:r>
      <w:r w:rsidRPr="006638BA"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  <w:t xml:space="preserve"> – Б</w:t>
      </w:r>
      <w:proofErr w:type="gramStart"/>
      <w:r w:rsidRPr="006638BA"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  <w:t>1.Б.</w:t>
      </w:r>
      <w:proofErr w:type="gramEnd"/>
      <w:r w:rsidRPr="006638BA"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  <w:t>40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 xml:space="preserve">Направление подготовки </w:t>
      </w:r>
      <w:r w:rsidRPr="006638BA">
        <w:rPr>
          <w:rFonts w:ascii="Times New Roman" w:hAnsi="Times New Roman" w:cs="Times New Roman"/>
          <w:b/>
          <w:iCs/>
          <w:sz w:val="24"/>
          <w:szCs w:val="24"/>
        </w:rPr>
        <w:t>–  31.05.02 Педиатрия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>Уровень высшего образования</w:t>
      </w:r>
      <w:r w:rsidRPr="006638BA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Pr="006638BA">
        <w:rPr>
          <w:rFonts w:ascii="Times New Roman" w:hAnsi="Times New Roman" w:cs="Times New Roman"/>
          <w:b/>
          <w:iCs/>
          <w:sz w:val="24"/>
          <w:szCs w:val="24"/>
        </w:rPr>
        <w:t>специалитет</w:t>
      </w:r>
      <w:proofErr w:type="spellEnd"/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Врач–педиатр 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Факультет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педиатрический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Кафедра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медицинской реабилитации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6638BA">
        <w:rPr>
          <w:rFonts w:ascii="Times New Roman" w:hAnsi="Times New Roman" w:cs="Times New Roman"/>
          <w:b/>
          <w:sz w:val="24"/>
          <w:szCs w:val="24"/>
        </w:rPr>
        <w:t>– очная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6638BA">
        <w:rPr>
          <w:rFonts w:ascii="Times New Roman" w:hAnsi="Times New Roman" w:cs="Times New Roman"/>
          <w:b/>
          <w:sz w:val="24"/>
          <w:szCs w:val="24"/>
        </w:rPr>
        <w:t>4, 5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Семестр: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B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38B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Всего трудоемкость –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6638BA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6638BA">
        <w:rPr>
          <w:rFonts w:ascii="Times New Roman" w:hAnsi="Times New Roman" w:cs="Times New Roman"/>
          <w:b/>
          <w:sz w:val="24"/>
          <w:szCs w:val="24"/>
        </w:rPr>
        <w:t>./108 часов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6638BA">
        <w:rPr>
          <w:rFonts w:ascii="Times New Roman" w:hAnsi="Times New Roman" w:cs="Times New Roman"/>
          <w:b/>
          <w:sz w:val="24"/>
          <w:szCs w:val="24"/>
        </w:rPr>
        <w:t>20 часов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40 часов</w:t>
      </w:r>
    </w:p>
    <w:p w:rsidR="00F53A1A" w:rsidRPr="006638BA" w:rsidRDefault="00F53A1A" w:rsidP="00F53A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48 часов</w:t>
      </w:r>
    </w:p>
    <w:p w:rsidR="00F53A1A" w:rsidRPr="006638BA" w:rsidRDefault="00F53A1A" w:rsidP="00F53A1A">
      <w:pPr>
        <w:shd w:val="clear" w:color="auto" w:fill="FFFFFF"/>
        <w:tabs>
          <w:tab w:val="left" w:pos="2705"/>
          <w:tab w:val="left" w:pos="3195"/>
          <w:tab w:val="center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Форма контроля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зачет в </w:t>
      </w:r>
      <w:r w:rsidRPr="006638B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F53A1A" w:rsidRPr="006638BA" w:rsidRDefault="00F53A1A" w:rsidP="00F53A1A">
      <w:pPr>
        <w:shd w:val="clear" w:color="auto" w:fill="FFFFFF"/>
        <w:tabs>
          <w:tab w:val="left" w:pos="2705"/>
          <w:tab w:val="left" w:pos="3195"/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tabs>
          <w:tab w:val="left" w:pos="2705"/>
          <w:tab w:val="left" w:pos="3195"/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F53A1A" w:rsidRDefault="00F53A1A" w:rsidP="00F53A1A">
      <w:pPr>
        <w:shd w:val="clear" w:color="auto" w:fill="FFFFFF"/>
        <w:tabs>
          <w:tab w:val="left" w:pos="2705"/>
          <w:tab w:val="left" w:pos="3195"/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F53A1A" w:rsidRPr="006638BA" w:rsidRDefault="00F53A1A" w:rsidP="00F53A1A">
      <w:pPr>
        <w:pStyle w:val="a3"/>
        <w:numPr>
          <w:ilvl w:val="3"/>
          <w:numId w:val="2"/>
        </w:numPr>
        <w:shd w:val="clear" w:color="auto" w:fill="FFFFFF"/>
        <w:tabs>
          <w:tab w:val="clear" w:pos="2880"/>
          <w:tab w:val="num" w:pos="0"/>
        </w:tabs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638BA">
        <w:rPr>
          <w:rFonts w:ascii="Times New Roman" w:hAnsi="Times New Roman" w:cs="Times New Roman"/>
          <w:b/>
          <w:iCs/>
          <w:sz w:val="24"/>
          <w:szCs w:val="24"/>
        </w:rPr>
        <w:t>ЦЕЛЬ И ЗАДАЧИ ОСВОЕНИЯ ДИСЦИПЛИНЫ:</w:t>
      </w:r>
    </w:p>
    <w:p w:rsidR="00F53A1A" w:rsidRPr="006638BA" w:rsidRDefault="00F53A1A" w:rsidP="00F53A1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8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 </w:t>
      </w:r>
      <w:r w:rsidRPr="006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способность и готовность применять различные реабилитационные мероприятия (медицинские, социальные, профессиональные) среди детей, при наиболее распространенных патологических состояниях и повреждениях организма, определять показания к переводу их в специализированные группы по занятиям физкультурой, после перенесенных заболеваний, давать рекомендации по выбору оптимального режима двигательной активности, определять показания и противопоказания к назначению средств лечебной физкультуры, физиотерапии, рефлексотерапии, фитотерапии  и других средств медицинской реабилитации, использовать основные курортные факторы при лечении детей.</w:t>
      </w:r>
    </w:p>
    <w:p w:rsidR="00F53A1A" w:rsidRPr="006638BA" w:rsidRDefault="00F53A1A" w:rsidP="00F53A1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38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53A1A" w:rsidRPr="006638BA" w:rsidRDefault="00F53A1A" w:rsidP="00F53A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обучить студентов основам организации проведения медицинской   реабилитации на стационарном, поликлиническом и санаторном этапах;</w:t>
      </w:r>
    </w:p>
    <w:p w:rsidR="00F53A1A" w:rsidRPr="006638BA" w:rsidRDefault="00F53A1A" w:rsidP="00F53A1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научить студентов оценивать функциональное состояние, жизнедеятельность некоторых категорий больных и инвалидов, их реабилитационный потенциал; </w:t>
      </w:r>
    </w:p>
    <w:p w:rsidR="00F53A1A" w:rsidRPr="006638BA" w:rsidRDefault="00F53A1A" w:rsidP="00F53A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научить студентов формировать индивидуальную реабилитационную программу для некоторых категорий больных и инвалидов, познакомить их с современными методами и средствами медицинской реабилитации, методами оценки эффективности реабилитации.</w:t>
      </w:r>
    </w:p>
    <w:p w:rsidR="00F53A1A" w:rsidRPr="006638BA" w:rsidRDefault="00F53A1A" w:rsidP="00F53A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овладеть современными методами и методиками физиотерапевтического лечения;</w:t>
      </w:r>
    </w:p>
    <w:p w:rsidR="00F53A1A" w:rsidRPr="006638BA" w:rsidRDefault="00F53A1A" w:rsidP="00F53A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изучить современные принципы физиотерапии, знать сочетание и комбинирование физических факторов при сочетанной патологии;</w:t>
      </w:r>
    </w:p>
    <w:p w:rsidR="00F53A1A" w:rsidRPr="006638BA" w:rsidRDefault="00F53A1A" w:rsidP="00F53A1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sz w:val="24"/>
          <w:szCs w:val="24"/>
        </w:rPr>
        <w:t xml:space="preserve">– проводить врачебное обследование детей и подростков для допуска их к занятиям физическим воспитанием и спортом; </w:t>
      </w:r>
    </w:p>
    <w:p w:rsidR="00F53A1A" w:rsidRPr="006638BA" w:rsidRDefault="00F53A1A" w:rsidP="00F53A1A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показания к переводу детей и подростков в специализированные группы по занятиям физкультурой после перенесенных заболеваний;</w:t>
      </w:r>
    </w:p>
    <w:p w:rsidR="00F53A1A" w:rsidRPr="006638BA" w:rsidRDefault="00F53A1A" w:rsidP="00F53A1A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методами исследования физического и функционального состояния здорового и больного ребенка для выбора ему адекватного двигательного режима;</w:t>
      </w:r>
    </w:p>
    <w:p w:rsidR="00F53A1A" w:rsidRPr="006638BA" w:rsidRDefault="00F53A1A" w:rsidP="00F53A1A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sz w:val="24"/>
          <w:szCs w:val="24"/>
        </w:rPr>
        <w:t>определять показания и противопоказания к назначению средств лечебной физкультуры, физиотерапии, рефлексотерапии, мануальной терапии и других средств немедикаментозной терапии;</w:t>
      </w:r>
    </w:p>
    <w:p w:rsidR="00F53A1A" w:rsidRPr="006638BA" w:rsidRDefault="00F53A1A" w:rsidP="00F53A1A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различные реабилитационные мероприятия (медицинские, социальные и профессиональные) среди детей и подростков при наиболее распространенных патологических состояниях и повреждениях организма;</w:t>
      </w:r>
    </w:p>
    <w:p w:rsidR="00F53A1A" w:rsidRPr="006638BA" w:rsidRDefault="00F53A1A" w:rsidP="00F53A1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основные курортные факторы при лечении детей и подростков;</w:t>
      </w:r>
    </w:p>
    <w:p w:rsidR="00F53A1A" w:rsidRPr="006638BA" w:rsidRDefault="00F53A1A" w:rsidP="00F53A1A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контролировать качества оказания </w:t>
      </w:r>
      <w:proofErr w:type="spellStart"/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лечебно</w:t>
      </w:r>
      <w:proofErr w:type="spellEnd"/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–диагностической, реабилитационной и профилактической помощи детям и подросткам.</w:t>
      </w:r>
    </w:p>
    <w:p w:rsidR="00F53A1A" w:rsidRPr="006638BA" w:rsidRDefault="00F53A1A" w:rsidP="00F53A1A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F53A1A" w:rsidRPr="006638BA" w:rsidRDefault="00F53A1A" w:rsidP="00F53A1A">
      <w:pPr>
        <w:rPr>
          <w:rFonts w:ascii="Times New Roman" w:hAnsi="Times New Roman" w:cs="Times New Roman"/>
          <w:b/>
          <w:w w:val="121"/>
          <w:sz w:val="24"/>
          <w:szCs w:val="24"/>
        </w:rPr>
      </w:pPr>
      <w:r>
        <w:rPr>
          <w:rFonts w:ascii="Times New Roman" w:hAnsi="Times New Roman" w:cs="Times New Roman"/>
          <w:b/>
          <w:w w:val="121"/>
          <w:sz w:val="24"/>
          <w:szCs w:val="24"/>
        </w:rPr>
        <w:t>2.</w:t>
      </w:r>
      <w:r w:rsidRPr="006638BA">
        <w:rPr>
          <w:rFonts w:ascii="Times New Roman" w:hAnsi="Times New Roman" w:cs="Times New Roman"/>
          <w:b/>
          <w:w w:val="121"/>
          <w:sz w:val="24"/>
          <w:szCs w:val="24"/>
        </w:rPr>
        <w:t xml:space="preserve"> ПЛАНИРУЕМЫЕ РЕЗУЛЬТАТЫ ОБУЧЕНИЯ ПО ДИСЦИПЛИНЕ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6531"/>
      </w:tblGrid>
      <w:tr w:rsidR="00F53A1A" w:rsidRPr="006638BA" w:rsidTr="0000751E">
        <w:trPr>
          <w:trHeight w:val="278"/>
        </w:trPr>
        <w:tc>
          <w:tcPr>
            <w:tcW w:w="3497" w:type="dxa"/>
          </w:tcPr>
          <w:p w:rsidR="00F53A1A" w:rsidRPr="006638BA" w:rsidRDefault="00F53A1A" w:rsidP="0000751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</w:p>
        </w:tc>
        <w:tc>
          <w:tcPr>
            <w:tcW w:w="6531" w:type="dxa"/>
          </w:tcPr>
          <w:p w:rsidR="00F53A1A" w:rsidRPr="006638BA" w:rsidRDefault="00F53A1A" w:rsidP="0000751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w w:val="121"/>
                <w:sz w:val="24"/>
                <w:szCs w:val="24"/>
              </w:rPr>
              <w:t xml:space="preserve">Код и наименование компетенции </w:t>
            </w:r>
          </w:p>
          <w:p w:rsidR="00F53A1A" w:rsidRPr="006638BA" w:rsidRDefault="00F53A1A" w:rsidP="0000751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w w:val="121"/>
                <w:sz w:val="24"/>
                <w:szCs w:val="24"/>
              </w:rPr>
              <w:t>(или ее части)</w:t>
            </w:r>
          </w:p>
        </w:tc>
      </w:tr>
      <w:tr w:rsidR="00F53A1A" w:rsidRPr="006638BA" w:rsidTr="0000751E">
        <w:trPr>
          <w:trHeight w:val="276"/>
        </w:trPr>
        <w:tc>
          <w:tcPr>
            <w:tcW w:w="3497" w:type="dxa"/>
          </w:tcPr>
          <w:p w:rsidR="00F53A1A" w:rsidRPr="006638BA" w:rsidRDefault="00F53A1A" w:rsidP="0000751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w w:val="121"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6531" w:type="dxa"/>
          </w:tcPr>
          <w:p w:rsidR="00F53A1A" w:rsidRPr="006638BA" w:rsidRDefault="00F53A1A" w:rsidP="0000751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</w:p>
        </w:tc>
      </w:tr>
      <w:tr w:rsidR="00F53A1A" w:rsidRPr="006638BA" w:rsidTr="0000751E">
        <w:trPr>
          <w:trHeight w:val="276"/>
        </w:trPr>
        <w:tc>
          <w:tcPr>
            <w:tcW w:w="10028" w:type="dxa"/>
            <w:gridSpan w:val="2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Общекультурные компетенции (ОК)</w:t>
            </w:r>
          </w:p>
        </w:tc>
      </w:tr>
      <w:tr w:rsidR="00F53A1A" w:rsidRPr="006638BA" w:rsidTr="0000751E">
        <w:trPr>
          <w:trHeight w:val="276"/>
        </w:trPr>
        <w:tc>
          <w:tcPr>
            <w:tcW w:w="10028" w:type="dxa"/>
            <w:gridSpan w:val="2"/>
          </w:tcPr>
          <w:p w:rsidR="00F53A1A" w:rsidRPr="006638BA" w:rsidRDefault="00F53A1A" w:rsidP="000075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ОК–6 –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F53A1A" w:rsidRPr="006638BA" w:rsidTr="0000751E">
        <w:trPr>
          <w:trHeight w:val="276"/>
        </w:trPr>
        <w:tc>
          <w:tcPr>
            <w:tcW w:w="3497" w:type="dxa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знать</w:t>
            </w:r>
          </w:p>
        </w:tc>
        <w:tc>
          <w:tcPr>
            <w:tcW w:w="6531" w:type="dxa"/>
          </w:tcPr>
          <w:p w:rsidR="00F53A1A" w:rsidRPr="006638BA" w:rsidRDefault="00F53A1A" w:rsidP="000075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средства и формы лечебной физической культуры;</w:t>
            </w:r>
          </w:p>
          <w:p w:rsidR="00F53A1A" w:rsidRPr="006638BA" w:rsidRDefault="00F53A1A" w:rsidP="0000751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организацию и проведение комплекса мероприятий здорового образа жизни (физической культуры, массажа, диетического питания, естественных природных факторов и др.);</w:t>
            </w:r>
          </w:p>
        </w:tc>
      </w:tr>
      <w:tr w:rsidR="00F53A1A" w:rsidRPr="006638BA" w:rsidTr="0000751E">
        <w:trPr>
          <w:trHeight w:val="276"/>
        </w:trPr>
        <w:tc>
          <w:tcPr>
            <w:tcW w:w="3497" w:type="dxa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уметь</w:t>
            </w:r>
          </w:p>
        </w:tc>
        <w:tc>
          <w:tcPr>
            <w:tcW w:w="6531" w:type="dxa"/>
          </w:tcPr>
          <w:p w:rsidR="00F53A1A" w:rsidRPr="006638BA" w:rsidRDefault="00F53A1A" w:rsidP="0000751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применять средства физической культуры для укрепления здоровья и профилактики возникновения различных заболеваний;</w:t>
            </w:r>
          </w:p>
        </w:tc>
      </w:tr>
      <w:tr w:rsidR="00F53A1A" w:rsidRPr="006638BA" w:rsidTr="0000751E">
        <w:trPr>
          <w:trHeight w:val="276"/>
        </w:trPr>
        <w:tc>
          <w:tcPr>
            <w:tcW w:w="3497" w:type="dxa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владеть</w:t>
            </w:r>
          </w:p>
        </w:tc>
        <w:tc>
          <w:tcPr>
            <w:tcW w:w="6531" w:type="dxa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навыками применения физических упражнений и лечебного массажа;</w:t>
            </w:r>
          </w:p>
        </w:tc>
      </w:tr>
      <w:tr w:rsidR="00F53A1A" w:rsidRPr="006638BA" w:rsidTr="0000751E">
        <w:trPr>
          <w:trHeight w:val="276"/>
        </w:trPr>
        <w:tc>
          <w:tcPr>
            <w:tcW w:w="10028" w:type="dxa"/>
            <w:gridSpan w:val="2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Профессиональные компетенции (ПК)</w:t>
            </w:r>
          </w:p>
        </w:tc>
      </w:tr>
      <w:tr w:rsidR="00F53A1A" w:rsidRPr="006638BA" w:rsidTr="0000751E">
        <w:trPr>
          <w:trHeight w:val="276"/>
        </w:trPr>
        <w:tc>
          <w:tcPr>
            <w:tcW w:w="10028" w:type="dxa"/>
            <w:gridSpan w:val="2"/>
          </w:tcPr>
          <w:p w:rsidR="00F53A1A" w:rsidRPr="006638BA" w:rsidRDefault="00F53A1A" w:rsidP="000075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ПК–14 – </w:t>
            </w: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</w:t>
            </w:r>
            <w:proofErr w:type="spellStart"/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–курортном лечении</w:t>
            </w:r>
          </w:p>
        </w:tc>
      </w:tr>
      <w:tr w:rsidR="00F53A1A" w:rsidRPr="006638BA" w:rsidTr="0000751E">
        <w:trPr>
          <w:trHeight w:val="276"/>
        </w:trPr>
        <w:tc>
          <w:tcPr>
            <w:tcW w:w="3497" w:type="dxa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знать</w:t>
            </w:r>
          </w:p>
        </w:tc>
        <w:tc>
          <w:tcPr>
            <w:tcW w:w="6531" w:type="dxa"/>
          </w:tcPr>
          <w:p w:rsidR="00F53A1A" w:rsidRPr="006638BA" w:rsidRDefault="00F53A1A" w:rsidP="000075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организацию и проведение реабилитационных мероприятий среди детей и подростков;</w:t>
            </w:r>
          </w:p>
          <w:p w:rsidR="00F53A1A" w:rsidRPr="006638BA" w:rsidRDefault="00F53A1A" w:rsidP="000075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механизмы </w:t>
            </w:r>
            <w:proofErr w:type="spellStart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лечебно</w:t>
            </w:r>
            <w:proofErr w:type="spellEnd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–реабилитационного воздействия физиотерапии, лечебной физкультуры, массажа, </w:t>
            </w:r>
            <w:proofErr w:type="spellStart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санаторно</w:t>
            </w:r>
            <w:proofErr w:type="spellEnd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–курортного лечения и других методов медицинской реабилитации, показания и противопоказания к их назначению;</w:t>
            </w:r>
          </w:p>
          <w:p w:rsidR="00F53A1A" w:rsidRPr="006638BA" w:rsidRDefault="00F53A1A" w:rsidP="0000751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отклонения и нарушения в физическом развитии и наметить план их коррекции с помощью средств медицинской реабилитации;</w:t>
            </w:r>
          </w:p>
        </w:tc>
      </w:tr>
      <w:tr w:rsidR="00F53A1A" w:rsidRPr="006638BA" w:rsidTr="0000751E">
        <w:trPr>
          <w:trHeight w:val="276"/>
        </w:trPr>
        <w:tc>
          <w:tcPr>
            <w:tcW w:w="3497" w:type="dxa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уметь</w:t>
            </w:r>
          </w:p>
        </w:tc>
        <w:tc>
          <w:tcPr>
            <w:tcW w:w="6531" w:type="dxa"/>
          </w:tcPr>
          <w:p w:rsidR="00F53A1A" w:rsidRPr="006638BA" w:rsidRDefault="00F53A1A" w:rsidP="0000751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больному ребенку или подростку программу реабилитационных мероприятий с учетом течения болезни, подобрать и назначить методы немедикаментозного лечения;</w:t>
            </w:r>
          </w:p>
        </w:tc>
      </w:tr>
      <w:tr w:rsidR="00F53A1A" w:rsidRPr="006638BA" w:rsidTr="0000751E">
        <w:trPr>
          <w:trHeight w:val="276"/>
        </w:trPr>
        <w:tc>
          <w:tcPr>
            <w:tcW w:w="3497" w:type="dxa"/>
          </w:tcPr>
          <w:p w:rsidR="00F53A1A" w:rsidRPr="006638BA" w:rsidRDefault="00F53A1A" w:rsidP="0000751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владеть</w:t>
            </w:r>
          </w:p>
        </w:tc>
        <w:tc>
          <w:tcPr>
            <w:tcW w:w="6531" w:type="dxa"/>
          </w:tcPr>
          <w:p w:rsidR="00F53A1A" w:rsidRPr="006638BA" w:rsidRDefault="00F53A1A" w:rsidP="000075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теоретическими знаниями и практическими умениями по применению различных методов медицинской реабилитации при лечении заболеваний сердечно–сосудистой и дыхательной системы, заболеваний </w:t>
            </w:r>
            <w:proofErr w:type="spellStart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желудочно</w:t>
            </w:r>
            <w:proofErr w:type="spellEnd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–кишечного тракта и нарушениях обмена веществ, неврологических, ортопедических и хирургических заболеваниях;</w:t>
            </w:r>
          </w:p>
        </w:tc>
      </w:tr>
    </w:tbl>
    <w:p w:rsidR="00F53A1A" w:rsidRPr="006638BA" w:rsidRDefault="00F53A1A" w:rsidP="00F53A1A">
      <w:pPr>
        <w:shd w:val="clear" w:color="auto" w:fill="FFFFFF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6638BA">
        <w:rPr>
          <w:rFonts w:ascii="Times New Roman" w:hAnsi="Times New Roman" w:cs="Times New Roman"/>
          <w:b/>
          <w:iCs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F53A1A" w:rsidRPr="006638BA" w:rsidRDefault="00F53A1A" w:rsidP="00F53A1A">
      <w:pPr>
        <w:shd w:val="clear" w:color="auto" w:fill="FFFFFF"/>
        <w:ind w:firstLine="8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>Дисциплина «Медицинская реабилитация» относится к циклу профессиональных дисциплин. Для успешного усвоения данной дисциплины студенту необходимы базисные знания, умения и навыки по медицинской физике, биофизике, биохимии, нормальной и патологической физиологии, анатомии человека, патологической анатомии, в цикле специальных дисциплин, в том числе: пропедевтика детских болезней, нервных болезней, хирургических болезней, ортопедия и травматология.</w:t>
      </w:r>
    </w:p>
    <w:p w:rsidR="00F53A1A" w:rsidRPr="006638BA" w:rsidRDefault="00F53A1A" w:rsidP="00F53A1A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ab/>
        <w:t>Конечной целью медицинской реабилитации является подготовка высококвалифицированного специалиста, который будет использовать полученные знания в различных видах профессиональной деятельности.</w:t>
      </w:r>
    </w:p>
    <w:p w:rsidR="00F53A1A" w:rsidRPr="006638BA" w:rsidRDefault="00F53A1A" w:rsidP="00F53A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Междисциплинарные связи дисциплины с другими дисциплинами ООП</w:t>
      </w:r>
    </w:p>
    <w:tbl>
      <w:tblPr>
        <w:tblW w:w="10751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864"/>
        <w:gridCol w:w="1687"/>
        <w:gridCol w:w="1418"/>
        <w:gridCol w:w="1559"/>
        <w:gridCol w:w="1537"/>
      </w:tblGrid>
      <w:tr w:rsidR="00F53A1A" w:rsidRPr="006638BA" w:rsidTr="0000751E">
        <w:trPr>
          <w:trHeight w:hRule="exact" w:val="71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ind w:left="5" w:right="139" w:firstLine="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Наименование обеспе</w:t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чиваемых дисциплин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53A1A" w:rsidRPr="006638BA" w:rsidRDefault="00F53A1A" w:rsidP="0000751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Се</w:t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4"/>
                <w:szCs w:val="24"/>
              </w:rPr>
              <w:t>мес</w:t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тр</w:t>
            </w:r>
          </w:p>
        </w:tc>
        <w:tc>
          <w:tcPr>
            <w:tcW w:w="6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:rsidR="00F53A1A" w:rsidRPr="006638BA" w:rsidRDefault="00F53A1A" w:rsidP="0000751E">
            <w:pPr>
              <w:shd w:val="clear" w:color="auto" w:fill="FFFFFF"/>
              <w:ind w:right="8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53A1A" w:rsidRPr="006638BA" w:rsidTr="0000751E">
        <w:trPr>
          <w:trHeight w:hRule="exact" w:val="591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A1A" w:rsidRPr="006638BA" w:rsidRDefault="00F53A1A" w:rsidP="000075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A1A" w:rsidRPr="006638BA" w:rsidRDefault="00F53A1A" w:rsidP="000075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53A1A" w:rsidRPr="006638BA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1A" w:rsidRPr="006638BA" w:rsidRDefault="00F53A1A" w:rsidP="0000751E">
            <w:pPr>
              <w:shd w:val="clear" w:color="auto" w:fill="FFFFFF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F53A1A" w:rsidRPr="006638BA" w:rsidTr="0000751E">
        <w:trPr>
          <w:trHeight w:hRule="exact" w:val="3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ind w:right="106"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sz w:val="24"/>
                <w:szCs w:val="24"/>
              </w:rPr>
              <w:t>Педиатрия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F53A1A" w:rsidRPr="006638BA" w:rsidTr="0000751E">
        <w:trPr>
          <w:trHeight w:hRule="exact"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tabs>
                <w:tab w:val="left" w:pos="2358"/>
              </w:tabs>
              <w:ind w:left="5" w:right="269" w:firstLine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хирургия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F53A1A" w:rsidRPr="006638BA" w:rsidTr="0000751E">
        <w:trPr>
          <w:trHeight w:hRule="exact" w:val="2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Детская неврология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F53A1A" w:rsidRPr="006638BA" w:rsidTr="0000751E">
        <w:trPr>
          <w:trHeight w:hRule="exact" w:val="2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ind w:right="202"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Ортопедия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A1A" w:rsidRPr="006638BA" w:rsidRDefault="00F53A1A" w:rsidP="0000751E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A1A" w:rsidRPr="006638BA" w:rsidRDefault="00F53A1A" w:rsidP="0000751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</w:tbl>
    <w:p w:rsidR="00F53A1A" w:rsidRPr="006638BA" w:rsidRDefault="00F53A1A" w:rsidP="00F53A1A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3A1A" w:rsidRDefault="00F53A1A" w:rsidP="00F53A1A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Трудоемкость учебной дисциплины </w:t>
      </w:r>
      <w:r w:rsidRPr="00663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(модуля)</w:t>
      </w:r>
      <w:r w:rsidRPr="00663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зачетных единиц,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108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>академических часов.</w:t>
      </w:r>
    </w:p>
    <w:p w:rsidR="00F53A1A" w:rsidRPr="006638BA" w:rsidRDefault="00F53A1A" w:rsidP="00F53A1A">
      <w:pPr>
        <w:shd w:val="clear" w:color="auto" w:fill="FFFFFF"/>
        <w:ind w:left="1931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11"/>
        <w:tblW w:w="0" w:type="auto"/>
        <w:tblInd w:w="-1026" w:type="dxa"/>
        <w:tblLook w:val="04A0" w:firstRow="1" w:lastRow="0" w:firstColumn="1" w:lastColumn="0" w:noHBand="0" w:noVBand="1"/>
      </w:tblPr>
      <w:tblGrid>
        <w:gridCol w:w="5348"/>
        <w:gridCol w:w="1600"/>
        <w:gridCol w:w="1485"/>
        <w:gridCol w:w="1595"/>
      </w:tblGrid>
      <w:tr w:rsidR="00F53A1A" w:rsidRPr="006638BA" w:rsidTr="0000751E">
        <w:tc>
          <w:tcPr>
            <w:tcW w:w="5348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00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48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8</w:t>
            </w:r>
          </w:p>
        </w:tc>
        <w:tc>
          <w:tcPr>
            <w:tcW w:w="159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9</w:t>
            </w:r>
          </w:p>
        </w:tc>
      </w:tr>
      <w:tr w:rsidR="00F53A1A" w:rsidRPr="006638BA" w:rsidTr="0000751E">
        <w:tc>
          <w:tcPr>
            <w:tcW w:w="5348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0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A1A" w:rsidRPr="006638BA" w:rsidTr="0000751E">
        <w:tc>
          <w:tcPr>
            <w:tcW w:w="5348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0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3A1A" w:rsidRPr="006638BA" w:rsidTr="0000751E">
        <w:tc>
          <w:tcPr>
            <w:tcW w:w="5348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(СО)</w:t>
            </w:r>
          </w:p>
        </w:tc>
        <w:tc>
          <w:tcPr>
            <w:tcW w:w="1600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3A1A" w:rsidRPr="006638BA" w:rsidTr="0000751E">
        <w:tc>
          <w:tcPr>
            <w:tcW w:w="5348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00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8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9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53A1A" w:rsidRPr="006638BA" w:rsidTr="0000751E">
        <w:tc>
          <w:tcPr>
            <w:tcW w:w="5348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Зачетных единиц</w:t>
            </w:r>
          </w:p>
        </w:tc>
        <w:tc>
          <w:tcPr>
            <w:tcW w:w="1600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595" w:type="dxa"/>
          </w:tcPr>
          <w:p w:rsidR="00F53A1A" w:rsidRPr="006638BA" w:rsidRDefault="00F53A1A" w:rsidP="0000751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</w:tbl>
    <w:p w:rsidR="00F53A1A" w:rsidRDefault="00F53A1A" w:rsidP="00F53A1A">
      <w:pPr>
        <w:shd w:val="clear" w:color="auto" w:fill="FFFFFF"/>
        <w:tabs>
          <w:tab w:val="left" w:leader="underscore" w:pos="6470"/>
        </w:tabs>
        <w:rPr>
          <w:rFonts w:ascii="Times New Roman" w:hAnsi="Times New Roman" w:cs="Times New Roman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tabs>
          <w:tab w:val="left" w:leader="underscore" w:pos="6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b/>
          <w:sz w:val="24"/>
          <w:szCs w:val="24"/>
        </w:rPr>
        <w:t>5.  Основные разделы дисциплины (модуля).</w:t>
      </w:r>
    </w:p>
    <w:p w:rsidR="00F53A1A" w:rsidRPr="006638BA" w:rsidRDefault="00F53A1A" w:rsidP="00F53A1A">
      <w:pPr>
        <w:shd w:val="clear" w:color="auto" w:fill="FFFFFF"/>
        <w:tabs>
          <w:tab w:val="left" w:leader="underscore" w:pos="647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232"/>
        <w:gridCol w:w="6379"/>
      </w:tblGrid>
      <w:tr w:rsidR="00F53A1A" w:rsidRPr="001D0C27" w:rsidTr="0000751E">
        <w:trPr>
          <w:trHeight w:val="910"/>
        </w:trPr>
        <w:tc>
          <w:tcPr>
            <w:tcW w:w="454" w:type="dxa"/>
            <w:shd w:val="clear" w:color="auto" w:fill="9CC2E5" w:themeFill="accent1" w:themeFillTint="99"/>
          </w:tcPr>
          <w:p w:rsidR="00F53A1A" w:rsidRPr="001D0C27" w:rsidRDefault="00F53A1A" w:rsidP="0000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232" w:type="dxa"/>
            <w:shd w:val="clear" w:color="auto" w:fill="9CC2E5" w:themeFill="accent1" w:themeFillTint="99"/>
          </w:tcPr>
          <w:p w:rsidR="00F53A1A" w:rsidRPr="001D0C27" w:rsidRDefault="00F53A1A" w:rsidP="0000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1A" w:rsidRPr="001D0C27" w:rsidRDefault="00F53A1A" w:rsidP="0000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:rsidR="00F53A1A" w:rsidRPr="001D0C27" w:rsidRDefault="00F53A1A" w:rsidP="0000751E">
            <w:pPr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53A1A" w:rsidRPr="001D0C27" w:rsidTr="0000751E">
        <w:trPr>
          <w:trHeight w:val="556"/>
        </w:trPr>
        <w:tc>
          <w:tcPr>
            <w:tcW w:w="454" w:type="dxa"/>
            <w:vMerge w:val="restart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медицинской реабилитации</w:t>
            </w:r>
          </w:p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1D0C27" w:rsidRDefault="00F53A1A" w:rsidP="0000751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по медицинской реабилитации. Показания и противопоказания к назначению немедикаментозных методов лечения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 и подросткам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(ЛФК, физиотерапии, рефлексотерапии, мануальной терапии, диетотерапии и др.). Стандарты оказания помощи по медицинской реабилитации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и подростков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Этапы, уровни и аспекты реабилитации (медицинский, социальный, профессиональный, психологический).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подростков.</w:t>
            </w:r>
          </w:p>
        </w:tc>
      </w:tr>
      <w:tr w:rsidR="00F53A1A" w:rsidRPr="001D0C27" w:rsidTr="0000751E">
        <w:trPr>
          <w:trHeight w:val="2452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физиотерапевтической службы</w:t>
            </w:r>
          </w:p>
          <w:p w:rsidR="00F53A1A" w:rsidRPr="001D0C27" w:rsidRDefault="00F53A1A" w:rsidP="0000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физических факторов в реабилитационном процессе. Особенности этики и деонтологии в физиотерапии. 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основы действия физических факторов. Основные подходы к лечебному использованию физических факторов. Особенности физиотерапии в педиатрии. Совместимость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, последовательность назначения.</w:t>
            </w:r>
          </w:p>
        </w:tc>
      </w:tr>
      <w:tr w:rsidR="00F53A1A" w:rsidRPr="001D0C27" w:rsidTr="0000751E">
        <w:trPr>
          <w:trHeight w:val="2725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в медицинской реабилитации.</w:t>
            </w:r>
          </w:p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Основные принципы подбора и дозировки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Противопоказания к назначению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 Механизм физиологического и лечебного действия методов физиотерапии. Техника безопасности при работе в физиотерапевтическом кабинете. Преимущества и достоинство физических факторов. Задачи и направления  физиотерапии.</w:t>
            </w:r>
          </w:p>
        </w:tc>
      </w:tr>
      <w:tr w:rsidR="00F53A1A" w:rsidRPr="001D0C27" w:rsidTr="0000751E">
        <w:trPr>
          <w:trHeight w:val="2538"/>
        </w:trPr>
        <w:tc>
          <w:tcPr>
            <w:tcW w:w="454" w:type="dxa"/>
            <w:vMerge w:val="restart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постоянного и импульсного электрического тока низкого напряжения.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Гальванизация. Лекарственный электрофорез.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Диадинамотерапия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Электросонтерапия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Электростимуляция. Лечебный фактор. Механизм лечебного действия физического фактора, лечебные эффекты, развивающиеся при их действии, показание и противопоказание к назначению процедур, параметры, аппаратура и методика применения процедуры.</w:t>
            </w:r>
          </w:p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1A" w:rsidRPr="001D0C27" w:rsidTr="0000751E">
        <w:trPr>
          <w:trHeight w:val="2120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 среднечастотных импульсных токов.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Интерференцтерапия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Местная дарсонвализация. Лечебный фактор, механизм лечебного действия физического фактора, лечебные эффекты, развивающиеся при их действии, показания и противопоказания к назначению процедур, параметры, аппаратура и методика применения процедуры.</w:t>
            </w:r>
          </w:p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1A" w:rsidRPr="001D0C27" w:rsidTr="0000751E">
        <w:trPr>
          <w:trHeight w:val="1613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электрических полей высокого напряжения.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Франклинизация. УВЧ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терапия. Аэроионотерапия. Лечебный фактор, механизм лечебного действия физического фактора, лечебные эффекты, показания и противопоказания к назначению процедур, параметры, аппаратура, техника и  методика применения процедур.</w:t>
            </w:r>
          </w:p>
        </w:tc>
      </w:tr>
      <w:tr w:rsidR="00F53A1A" w:rsidRPr="001D0C27" w:rsidTr="0000751E">
        <w:trPr>
          <w:trHeight w:val="2112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магнитного поля.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мпульсная, низкочастотная и высокочастотная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 Лечебный фактор, механизм лечебного действия физического фактора, лечебные эффекты, развивающиеся при их действии, показания и противопоказания к назначению процедур, параметры, аппаратура и методика применения процедуры.</w:t>
            </w:r>
          </w:p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1A" w:rsidRPr="001D0C27" w:rsidTr="0000751E">
        <w:trPr>
          <w:trHeight w:val="2158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электромагнитных волн сверхвысокой частоты (микроволновая терапия).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Сантиметроволновая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дециметроволновая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милиметроволновая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Лечебный фактор, механизм лечебного действия физического фактора, лечебные эффекты, развивающиеся при их применении, показания и противопоказания к назначению процедур, параметры, аппаратура, техника и методика применения процедур.</w:t>
            </w:r>
          </w:p>
        </w:tc>
      </w:tr>
      <w:tr w:rsidR="00F53A1A" w:rsidRPr="001D0C27" w:rsidTr="0000751E">
        <w:trPr>
          <w:trHeight w:val="1875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электромагнитных колебаний оптического диапазона.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Ультрафиолетовое, инфракрасное видимое излучение и лазеротерапия. Лечебный  фактор,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механизм лечебного действия физического фактора, лечебные эффекты, развивающиеся при их применении,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процедур, параметры, аппаратура, методика и техника проведения процедур.</w:t>
            </w:r>
          </w:p>
        </w:tc>
      </w:tr>
      <w:tr w:rsidR="00F53A1A" w:rsidRPr="001D0C27" w:rsidTr="0000751E">
        <w:trPr>
          <w:trHeight w:val="1972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механических воздействий и ингаляций.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Лечебный фактор, механизм лечебного действия физического фактора, лечебные эффекты, развивающиеся при их действии, показание и противопоказание к назначению процедур, параметры,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аппаратура и методика применения процедуры.</w:t>
            </w:r>
          </w:p>
        </w:tc>
      </w:tr>
      <w:tr w:rsidR="00F53A1A" w:rsidRPr="001D0C27" w:rsidTr="0000751E">
        <w:trPr>
          <w:trHeight w:val="49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Лечебное применение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гидролечения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теплолечения 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в реабилитации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Обливание, обтирание, влажное укутывание, ванны и души.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Парафинолечение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озокеритолечение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и грязелечение. Лечебный фактор, механизм лечебного действия  физического фактора, лечебные эффекты, развивающиеся при их действии, показания и противопоказания к назначению процедур, параметры, техника и методика проведения процедур.</w:t>
            </w:r>
          </w:p>
        </w:tc>
      </w:tr>
      <w:tr w:rsidR="00F53A1A" w:rsidRPr="001D0C27" w:rsidTr="0000751E">
        <w:trPr>
          <w:trHeight w:val="1891"/>
        </w:trPr>
        <w:tc>
          <w:tcPr>
            <w:tcW w:w="454" w:type="dxa"/>
            <w:vMerge w:val="restart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основы лечебной физкультуры.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лечебного применения физических упражнений. Средства ЛФК. Формы и методы ЛФК. Синдром гиподинамии. Классификация физических упражнений. Двигательные режимы. Механизм лечебного действия физических упражнений. Показание и противопоказание ЛФК. </w:t>
            </w:r>
          </w:p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1A" w:rsidRPr="001D0C27" w:rsidTr="0000751E">
        <w:trPr>
          <w:trHeight w:val="882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лечебной физкультуры в восстановительном лечении.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лечебной физкультуры. Основные принципы подбора и дозировки физической нагрузки. Порядок назначения лечебной гимнастики и оформление документации. Особенности ЛФК в реабилитации детей. Мануальная терапия.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Тракционная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Механотерапия. Трудотерапия.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Рекомендация родителям по уходу, двигательному режиму и закаливанию.</w:t>
            </w:r>
          </w:p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1A" w:rsidRPr="001D0C27" w:rsidTr="0000751E">
        <w:trPr>
          <w:trHeight w:val="79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Лечебный массаж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Виды массажа. Механизм лечебного воздействия. Основные приемы массажа. Техника и методика проведения процедур. Показание и противопоказание массажа. Гимнастика и особенности массажа детей первого года жизни.</w:t>
            </w:r>
          </w:p>
          <w:p w:rsidR="00F53A1A" w:rsidRPr="001D0C27" w:rsidRDefault="00F53A1A" w:rsidP="0000751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1A" w:rsidRPr="001D0C27" w:rsidTr="0000751E">
        <w:trPr>
          <w:trHeight w:val="3803"/>
        </w:trPr>
        <w:tc>
          <w:tcPr>
            <w:tcW w:w="454" w:type="dxa"/>
            <w:vMerge w:val="restart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детей при заболеваниях раннего возраста</w:t>
            </w:r>
          </w:p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1D0C27" w:rsidRDefault="00F53A1A" w:rsidP="0000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рахита, гипотрофии, пупочной грыжи, кривошеи, врожденный вывих бедра, как проявление поражения целостного организма и механизм прерывания их средствами реабилитации.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общих и специальных задач ЛФК с учетом периода, течения, тяжести заболевания, противопоказаний к назначению методов реабилитации. Методы контроля эффективности средств ЛФК в лечении изучаемых заболеваний, динамика массы тела, моторной функции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кишечного тракта, тонуса скелетной мускулатуры, уровня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развития, наличия и коррекции деформаций костной ткани.</w:t>
            </w:r>
          </w:p>
        </w:tc>
      </w:tr>
      <w:tr w:rsidR="00F53A1A" w:rsidRPr="001D0C27" w:rsidTr="0000751E">
        <w:trPr>
          <w:trHeight w:val="2196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 детей с сердечно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сосудистыми заболеваниями.</w:t>
            </w:r>
          </w:p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1A" w:rsidRPr="001D0C27" w:rsidRDefault="00F53A1A" w:rsidP="0000751E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1D0C27" w:rsidRDefault="00F53A1A" w:rsidP="0000751E">
            <w:pPr>
              <w:pStyle w:val="31"/>
              <w:widowControl w:val="0"/>
              <w:tabs>
                <w:tab w:val="left" w:pos="366"/>
              </w:tabs>
              <w:rPr>
                <w:rFonts w:ascii="Times New Roman" w:hAnsi="Times New Roman" w:cs="Times New Roman"/>
                <w:szCs w:val="24"/>
              </w:rPr>
            </w:pPr>
            <w:r w:rsidRPr="001D0C27">
              <w:rPr>
                <w:rFonts w:ascii="Times New Roman" w:hAnsi="Times New Roman" w:cs="Times New Roman"/>
                <w:szCs w:val="24"/>
              </w:rPr>
              <w:t>Этиология, патогенез и клиническая картина. Особенности применения средств реабилитационных методов лечения при гипертонической болезни, вегетососудистой дистонии, ревмокардитах, пороках сердца. Применение средств ЛФК при заболеваниях сердечно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Cs w:val="24"/>
              </w:rPr>
              <w:t>сосудистой системы. Физиотерапия при сердечно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Cs w:val="24"/>
              </w:rPr>
              <w:t>сосудистых заболеваниях.</w:t>
            </w:r>
          </w:p>
        </w:tc>
      </w:tr>
      <w:tr w:rsidR="00F53A1A" w:rsidRPr="001D0C27" w:rsidTr="0000751E">
        <w:trPr>
          <w:trHeight w:val="457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pStyle w:val="31"/>
              <w:widowControl w:val="0"/>
              <w:tabs>
                <w:tab w:val="left" w:pos="366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Cs w:val="24"/>
              </w:rPr>
              <w:t xml:space="preserve">Медицинская реабилитация </w:t>
            </w:r>
            <w:r w:rsidRPr="001D0C27">
              <w:rPr>
                <w:rFonts w:ascii="Times New Roman" w:hAnsi="Times New Roman" w:cs="Times New Roman"/>
                <w:iCs/>
                <w:szCs w:val="24"/>
              </w:rPr>
              <w:t>при заболеваниях органов дыхания.</w:t>
            </w:r>
          </w:p>
          <w:p w:rsidR="00F53A1A" w:rsidRPr="001D0C27" w:rsidRDefault="00F53A1A" w:rsidP="0000751E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0D3E7D" w:rsidRDefault="00F53A1A" w:rsidP="0000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Этиология,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атогенез и клиническая картина.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применения средств реабилитационных методов лечения в комплексном лечении острых и хронических заболеваний легких. Особенности методик лечения при пневмониях, бронхиальной астме, бронхоэктатической болезни,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муковисцидозе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Обучение методике дренажной гимнастики, звуковой гимнастики. Методы оценки эффективности средств медицинской реабилитации при заболеваниях органов дыхания. Применение средств ЛФК при патологии легких. Физиотерапия при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заболеваниях органов дыхания.</w:t>
            </w:r>
          </w:p>
          <w:p w:rsidR="00F53A1A" w:rsidRPr="001D0C27" w:rsidRDefault="00F53A1A" w:rsidP="0000751E">
            <w:pPr>
              <w:pStyle w:val="31"/>
              <w:widowControl w:val="0"/>
              <w:tabs>
                <w:tab w:val="left" w:pos="366"/>
              </w:tabs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F53A1A" w:rsidRPr="001D0C27" w:rsidTr="0000751E">
        <w:trPr>
          <w:trHeight w:val="701"/>
        </w:trPr>
        <w:tc>
          <w:tcPr>
            <w:tcW w:w="454" w:type="dxa"/>
            <w:vMerge w:val="restart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реабилитация 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патологии </w:t>
            </w:r>
            <w:proofErr w:type="spellStart"/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кишечного тракта и заболеваниях, вызванных нарушением обмена веществ.</w:t>
            </w:r>
          </w:p>
          <w:p w:rsidR="00F53A1A" w:rsidRPr="001D0C27" w:rsidRDefault="00F53A1A" w:rsidP="0000751E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0D3E7D" w:rsidRDefault="00F53A1A" w:rsidP="0000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 и клиническая картина. Задачи, показания и противопоказания к назначению средств реабилитационных методов лечения при заболеваниях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кишечного тракта.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применения средств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кинези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при дискинезии желчевыводящих путей и толстого кишечника. Частные методики лечебной гимнастики при висцероптозах. Использование средств медицинской реабилитации при ожирении и сахарном диабете. Физиотерапия при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патологии </w:t>
            </w:r>
            <w:proofErr w:type="spellStart"/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кишечного тракта и заболеваниях, вызванных нарушением обмена веществ.</w:t>
            </w:r>
          </w:p>
          <w:p w:rsidR="00F53A1A" w:rsidRPr="001D0C27" w:rsidRDefault="00F53A1A" w:rsidP="000075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3A1A" w:rsidRPr="001D0C27" w:rsidTr="0000751E">
        <w:trPr>
          <w:trHeight w:val="2208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 в травматологии и ортопедии.</w:t>
            </w:r>
          </w:p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1D0C27" w:rsidRDefault="00F53A1A" w:rsidP="0000751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 и клиническая картина. ЛФК при нарушениях осанки, сколиозе, плоскостопии, остеохондрозе. Комплексная оценка состояния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аппарата, включающая состояние мышечного корсета,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плантографию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топографическую фотометрию, 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стабилометрию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традиционные методы исследования.</w:t>
            </w:r>
          </w:p>
        </w:tc>
      </w:tr>
      <w:tr w:rsidR="00F53A1A" w:rsidRPr="001D0C27" w:rsidTr="0000751E">
        <w:trPr>
          <w:trHeight w:val="1591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реабилитации в хирургии.</w:t>
            </w:r>
          </w:p>
        </w:tc>
        <w:tc>
          <w:tcPr>
            <w:tcW w:w="6379" w:type="dxa"/>
          </w:tcPr>
          <w:p w:rsidR="00F53A1A" w:rsidRPr="001D0C27" w:rsidRDefault="00F53A1A" w:rsidP="0000751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Средства реабилитационных методов лечения в поэтапном лечении хирургических больных. Методики реабилитации при операциях на органах брюшной и грудной полости. Принципы организации и особенности методики ЛФК  и физиотерапии в хирургии.</w:t>
            </w:r>
          </w:p>
        </w:tc>
      </w:tr>
      <w:tr w:rsidR="00F53A1A" w:rsidRPr="001D0C27" w:rsidTr="0000751E">
        <w:trPr>
          <w:trHeight w:val="79"/>
        </w:trPr>
        <w:tc>
          <w:tcPr>
            <w:tcW w:w="454" w:type="dxa"/>
            <w:vMerge/>
          </w:tcPr>
          <w:p w:rsidR="00F53A1A" w:rsidRPr="001D0C27" w:rsidRDefault="00F53A1A" w:rsidP="0000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53A1A" w:rsidRPr="001D0C27" w:rsidRDefault="00F53A1A" w:rsidP="0000751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при неврологических заболеваниях.</w:t>
            </w:r>
          </w:p>
          <w:p w:rsidR="00F53A1A" w:rsidRPr="001D0C27" w:rsidRDefault="00F53A1A" w:rsidP="00007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1A" w:rsidRPr="001D0C27" w:rsidRDefault="00F53A1A" w:rsidP="0000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 и клиническая картина. Особенности методик применения средств реабилитационных методов лечения, при заболеваниях периферической нервной системы (невропатии). Основные рекомендации по уходу и реабилитации. Физическая реабилитация при детском церебральном параличе. Физиотерапия при неврологических заболеваниях.</w:t>
            </w:r>
          </w:p>
        </w:tc>
      </w:tr>
    </w:tbl>
    <w:p w:rsidR="00F53A1A" w:rsidRDefault="00F53A1A" w:rsidP="00F53A1A">
      <w:pPr>
        <w:rPr>
          <w:rFonts w:ascii="Times New Roman" w:hAnsi="Times New Roman" w:cs="Times New Roman"/>
          <w:sz w:val="24"/>
          <w:szCs w:val="24"/>
        </w:rPr>
      </w:pPr>
    </w:p>
    <w:p w:rsidR="00F53A1A" w:rsidRPr="006638BA" w:rsidRDefault="00F53A1A" w:rsidP="00F53A1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F53A1A" w:rsidRDefault="00F53A1A" w:rsidP="00F53A1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Форма промежуточной аттестации</w:t>
      </w: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 - </w:t>
      </w:r>
      <w:r w:rsidRPr="006638BA">
        <w:rPr>
          <w:rFonts w:ascii="Times New Roman" w:hAnsi="Times New Roman" w:cs="Times New Roman"/>
          <w:sz w:val="24"/>
          <w:szCs w:val="24"/>
        </w:rPr>
        <w:t>зачет, в 9 семестре</w:t>
      </w:r>
    </w:p>
    <w:p w:rsidR="00004E12" w:rsidRDefault="00004E12">
      <w:bookmarkStart w:id="0" w:name="_GoBack"/>
      <w:bookmarkEnd w:id="0"/>
    </w:p>
    <w:sectPr w:rsidR="000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84F"/>
    <w:multiLevelType w:val="hybridMultilevel"/>
    <w:tmpl w:val="D62CF51C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30184"/>
    <w:multiLevelType w:val="hybridMultilevel"/>
    <w:tmpl w:val="A558A962"/>
    <w:lvl w:ilvl="0" w:tplc="556EF4E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1A"/>
    <w:rsid w:val="00004E12"/>
    <w:rsid w:val="00F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E52D-4D91-491A-B90C-E026E1E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3A1A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53A1A"/>
    <w:pPr>
      <w:suppressAutoHyphens/>
      <w:jc w:val="both"/>
    </w:pPr>
    <w:rPr>
      <w:rFonts w:eastAsia="Times New Roman"/>
      <w:sz w:val="24"/>
      <w:lang w:eastAsia="ar-SA"/>
    </w:rPr>
  </w:style>
  <w:style w:type="character" w:customStyle="1" w:styleId="a4">
    <w:name w:val="Основной текст_"/>
    <w:link w:val="4"/>
    <w:rsid w:val="00F53A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F53A1A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11">
    <w:name w:val="Сетка таблицы11"/>
    <w:basedOn w:val="a1"/>
    <w:next w:val="a5"/>
    <w:rsid w:val="00F53A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F5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2021-02-09T11:05:00Z</dcterms:created>
  <dcterms:modified xsi:type="dcterms:W3CDTF">2021-02-09T11:06:00Z</dcterms:modified>
</cp:coreProperties>
</file>