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4" w:rsidRPr="00FC6BFD" w:rsidRDefault="004C4C24" w:rsidP="004C4C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C4C24" w:rsidRPr="00FC6BFD" w:rsidRDefault="004C4C24" w:rsidP="004C4C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C4C24" w:rsidRPr="00FC6BFD" w:rsidRDefault="004C4C24" w:rsidP="004C4C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C4C24" w:rsidRPr="00FC6BFD" w:rsidRDefault="004C4C24" w:rsidP="004C4C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C4C24" w:rsidRPr="00FC6BFD" w:rsidRDefault="004C4C24" w:rsidP="004C4C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C24" w:rsidRPr="00FC6BFD" w:rsidRDefault="004C4C24" w:rsidP="004C4C24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4C4C24" w:rsidRPr="00FC6BFD" w:rsidRDefault="004C4C24" w:rsidP="004C4C24">
      <w:pPr>
        <w:pStyle w:val="a5"/>
        <w:spacing w:line="276" w:lineRule="auto"/>
        <w:jc w:val="center"/>
        <w:rPr>
          <w:color w:val="000000" w:themeColor="text1"/>
        </w:rPr>
      </w:pPr>
    </w:p>
    <w:p w:rsidR="004C4C24" w:rsidRPr="00FC6BFD" w:rsidRDefault="004C4C24" w:rsidP="004C4C24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4C4C24" w:rsidRPr="00FC6BFD" w:rsidTr="00A942A4">
        <w:tc>
          <w:tcPr>
            <w:tcW w:w="4928" w:type="dxa"/>
          </w:tcPr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4C24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И.О. проректора</w:t>
            </w:r>
          </w:p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по учебной работе</w:t>
            </w:r>
          </w:p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4C4C24" w:rsidRPr="00FC6BFD" w:rsidRDefault="004C4C24" w:rsidP="00A942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4C4C24" w:rsidRPr="00FC6BFD" w:rsidRDefault="004C4C24" w:rsidP="00A942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июля 2022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FD5A65" w:rsidRDefault="00FD5A65" w:rsidP="00FD5A6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FD5A65" w:rsidRDefault="00FD5A65" w:rsidP="00FD5A65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FD5A65" w:rsidRDefault="00FD5A65" w:rsidP="00FD5A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60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2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Педиатрия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4C4C24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педиатр</w:t>
      </w:r>
    </w:p>
    <w:p w:rsidR="004C4C24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Педиатрический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6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11</w:t>
      </w:r>
    </w:p>
    <w:p w:rsidR="004C4C24" w:rsidRPr="00AD25A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697F7A">
        <w:rPr>
          <w:rFonts w:ascii="Times New Roman" w:hAnsi="Times New Roman" w:cs="Times New Roman"/>
          <w:b/>
        </w:rPr>
        <w:t>3</w:t>
      </w:r>
      <w:r w:rsidRPr="00AD25AD">
        <w:rPr>
          <w:rFonts w:ascii="Times New Roman" w:hAnsi="Times New Roman" w:cs="Times New Roman"/>
          <w:b/>
        </w:rPr>
        <w:t xml:space="preserve">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 xml:space="preserve">. / </w:t>
      </w:r>
      <w:r>
        <w:rPr>
          <w:rFonts w:ascii="Times New Roman" w:hAnsi="Times New Roman" w:cs="Times New Roman"/>
          <w:b/>
        </w:rPr>
        <w:t>108</w:t>
      </w:r>
      <w:r w:rsidRPr="00AD25AD">
        <w:rPr>
          <w:rFonts w:ascii="Times New Roman" w:hAnsi="Times New Roman" w:cs="Times New Roman"/>
          <w:b/>
        </w:rPr>
        <w:t xml:space="preserve"> часов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44 (часов)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4C4C24" w:rsidRPr="00AD25AD" w:rsidRDefault="004C4C24" w:rsidP="004C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2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2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Педиатрия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965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</w:t>
      </w:r>
      <w:r>
        <w:rPr>
          <w:rFonts w:cs="Times New Roman"/>
          <w:b w:val="0"/>
          <w:sz w:val="24"/>
          <w:szCs w:val="24"/>
        </w:rPr>
        <w:t xml:space="preserve">ы одобрена на заседании кафедры </w:t>
      </w: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27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июня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22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УМР</w:t>
      </w:r>
      <w:r w:rsidRPr="00FC6BFD">
        <w:rPr>
          <w:rFonts w:cs="Times New Roman"/>
          <w:b w:val="0"/>
          <w:sz w:val="24"/>
          <w:szCs w:val="24"/>
        </w:rPr>
        <w:t xml:space="preserve"> ККО_______________________   </w:t>
      </w:r>
      <w:r>
        <w:rPr>
          <w:rFonts w:cs="Times New Roman"/>
          <w:b w:val="0"/>
          <w:sz w:val="24"/>
          <w:szCs w:val="24"/>
        </w:rPr>
        <w:t xml:space="preserve"> </w:t>
      </w:r>
      <w:r w:rsidRPr="00FC6BFD">
        <w:rPr>
          <w:rFonts w:cs="Times New Roman"/>
          <w:b w:val="0"/>
          <w:sz w:val="24"/>
          <w:szCs w:val="24"/>
        </w:rPr>
        <w:t>А.М. Каримова</w:t>
      </w: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А.А. </w:t>
      </w:r>
      <w:proofErr w:type="spellStart"/>
      <w:r>
        <w:rPr>
          <w:rFonts w:cs="Times New Roman"/>
          <w:b w:val="0"/>
          <w:sz w:val="24"/>
          <w:szCs w:val="24"/>
        </w:rPr>
        <w:t>Мусхаджиев</w:t>
      </w:r>
      <w:proofErr w:type="spellEnd"/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4C4C24" w:rsidRPr="00FC6BFD" w:rsidRDefault="004C4C24" w:rsidP="004C4C24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Ашурбеков</w:t>
      </w:r>
      <w:r>
        <w:rPr>
          <w:rFonts w:cs="Times New Roman"/>
          <w:b w:val="0"/>
          <w:sz w:val="24"/>
          <w:szCs w:val="24"/>
        </w:rPr>
        <w:t xml:space="preserve"> </w:t>
      </w:r>
      <w:r w:rsidRPr="008128E3">
        <w:rPr>
          <w:rFonts w:cs="Times New Roman"/>
          <w:b w:val="0"/>
          <w:sz w:val="24"/>
          <w:szCs w:val="24"/>
        </w:rPr>
        <w:t>Т.Р.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4C4C24" w:rsidRPr="00FC6BFD" w:rsidTr="00A942A4">
        <w:tc>
          <w:tcPr>
            <w:tcW w:w="3510" w:type="dxa"/>
          </w:tcPr>
          <w:p w:rsidR="004C4C24" w:rsidRPr="00FC6BFD" w:rsidRDefault="004C4C24" w:rsidP="00A942A4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4C4C24" w:rsidRPr="00FC6BFD" w:rsidRDefault="004C4C24" w:rsidP="00A942A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4C24" w:rsidRPr="00FC6BFD" w:rsidRDefault="004C4C24" w:rsidP="00A942A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4C4C24" w:rsidRPr="00FC6BFD" w:rsidRDefault="004C4C24" w:rsidP="004C4C2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 xml:space="preserve">Исмаилов </w:t>
      </w:r>
      <w:r>
        <w:rPr>
          <w:rFonts w:ascii="Times New Roman" w:hAnsi="Times New Roman" w:cs="Times New Roman"/>
        </w:rPr>
        <w:t>М.</w:t>
      </w:r>
      <w:r w:rsidRPr="00FC6BFD">
        <w:rPr>
          <w:rFonts w:ascii="Times New Roman" w:hAnsi="Times New Roman" w:cs="Times New Roman"/>
        </w:rPr>
        <w:t>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4C4C24" w:rsidRDefault="004C4C24" w:rsidP="004C4C2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</w:t>
      </w:r>
      <w:r w:rsidRPr="00FC6BFD">
        <w:rPr>
          <w:rFonts w:ascii="Times New Roman" w:hAnsi="Times New Roman" w:cs="Times New Roman"/>
        </w:rPr>
        <w:t>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4C4C24" w:rsidRDefault="004C4C24" w:rsidP="004C4C2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4C4C24" w:rsidRPr="00FC6BFD" w:rsidRDefault="004C4C24" w:rsidP="004C4C24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4C4C24" w:rsidRPr="00FC6BFD" w:rsidRDefault="004C4C24" w:rsidP="004C4C24">
      <w:pPr>
        <w:ind w:left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делопроизводством Бюро судебно-медицинской экспертизы и его структурных подразделений;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 w:rsidRPr="00FC6BFD">
        <w:rPr>
          <w:rFonts w:ascii="Times New Roman" w:hAnsi="Times New Roman" w:cs="Times New Roman"/>
          <w:b/>
        </w:rPr>
        <w:t xml:space="preserve"> (модулю)</w:t>
      </w:r>
    </w:p>
    <w:p w:rsidR="004C4C24" w:rsidRPr="00FC6BFD" w:rsidRDefault="004C4C24" w:rsidP="004C4C2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C4C24" w:rsidRPr="00FC6BFD" w:rsidTr="00A942A4">
        <w:tc>
          <w:tcPr>
            <w:tcW w:w="4820" w:type="dxa"/>
            <w:tcBorders>
              <w:bottom w:val="single" w:sz="4" w:space="0" w:color="auto"/>
            </w:tcBorders>
          </w:tcPr>
          <w:p w:rsidR="004C4C24" w:rsidRPr="00FC6BFD" w:rsidRDefault="004C4C24" w:rsidP="00A942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4C4C24" w:rsidRPr="00FC6BFD" w:rsidRDefault="004C4C24" w:rsidP="004C4C24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Б1.О.60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2 Педиатрия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4C4C24" w:rsidRPr="00FC6BFD" w:rsidRDefault="004C4C24" w:rsidP="004C4C2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4C4C24" w:rsidRPr="00FC6BFD" w:rsidRDefault="004C4C24" w:rsidP="004C4C2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>
        <w:rPr>
          <w:rFonts w:ascii="Times New Roman" w:hAnsi="Times New Roman" w:cs="Times New Roman"/>
          <w:b/>
        </w:rPr>
        <w:t>3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4C4C24" w:rsidRPr="00FC6BFD" w:rsidTr="00A942A4">
        <w:trPr>
          <w:trHeight w:val="276"/>
        </w:trPr>
        <w:tc>
          <w:tcPr>
            <w:tcW w:w="4053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4C4C24" w:rsidRPr="00FC6BFD" w:rsidTr="00A942A4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63"/>
        </w:trPr>
        <w:tc>
          <w:tcPr>
            <w:tcW w:w="5000" w:type="pct"/>
            <w:gridSpan w:val="2"/>
            <w:hideMark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4C4C24" w:rsidRPr="00FC6BFD" w:rsidRDefault="004C4C24" w:rsidP="004C4C2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B134C">
              <w:rPr>
                <w:b/>
                <w:color w:val="000000"/>
              </w:rPr>
              <w:t xml:space="preserve">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B53EEE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трупа.</w:t>
            </w:r>
          </w:p>
        </w:tc>
      </w:tr>
      <w:tr w:rsidR="004C4C24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AE7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живых лиц</w:t>
            </w:r>
            <w:r>
              <w:rPr>
                <w:rFonts w:ascii="Times New Roman" w:hAnsi="Times New Roman" w:cs="Times New Roman"/>
                <w:b/>
              </w:rPr>
              <w:t xml:space="preserve"> и вещественных доказательств</w:t>
            </w:r>
            <w:r w:rsidRPr="00390B9D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4C4C24">
        <w:rPr>
          <w:rFonts w:ascii="Times New Roman" w:hAnsi="Times New Roman" w:cs="Times New Roman"/>
          <w:b/>
          <w:iCs/>
          <w:spacing w:val="-7"/>
        </w:rPr>
        <w:t>11</w:t>
      </w:r>
      <w:r>
        <w:rPr>
          <w:rFonts w:ascii="Times New Roman" w:hAnsi="Times New Roman" w:cs="Times New Roman"/>
          <w:b/>
          <w:iCs/>
          <w:spacing w:val="-7"/>
        </w:rPr>
        <w:t>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E16E5"/>
    <w:rsid w:val="004C4C24"/>
    <w:rsid w:val="00810698"/>
    <w:rsid w:val="008C2D4C"/>
    <w:rsid w:val="00B53EEE"/>
    <w:rsid w:val="00B93CE5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FD5A65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2022-12-21T09:18:00Z</dcterms:created>
  <dcterms:modified xsi:type="dcterms:W3CDTF">2023-11-09T09:55:00Z</dcterms:modified>
</cp:coreProperties>
</file>